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525780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491490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95885</wp:posOffset>
            </wp:positionV>
            <wp:extent cx="2288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52705</wp:posOffset>
            </wp:positionV>
            <wp:extent cx="22885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307" w:lineRule="exact"/>
        <w:rPr>
          <w:sz w:val="24"/>
          <w:szCs w:val="24"/>
          <w:color w:val="auto"/>
        </w:rPr>
      </w:pPr>
    </w:p>
    <w:p>
      <w:pPr>
        <w:ind w:left="500" w:hanging="474"/>
        <w:spacing w:after="0"/>
        <w:tabs>
          <w:tab w:leader="none" w:pos="5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November 29, 2025</w:t>
      </w:r>
    </w:p>
    <w:p>
      <w:pPr>
        <w:ind w:left="480" w:hanging="454"/>
        <w:spacing w:after="0" w:line="213" w:lineRule="auto"/>
        <w:tabs>
          <w:tab w:leader="none" w:pos="480" w:val="left"/>
        </w:tabs>
        <w:numPr>
          <w:ilvl w:val="0"/>
          <w:numId w:val="2"/>
        </w:numPr>
        <w:rPr>
          <w:rFonts w:ascii="MS PGothic" w:cs="MS PGothic" w:eastAsia="MS PGothic" w:hAnsi="MS PGothic"/>
          <w:sz w:val="43"/>
          <w:szCs w:val="43"/>
          <w:color w:val="auto"/>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31" w:lineRule="exact"/>
        <w:rPr>
          <w:sz w:val="24"/>
          <w:szCs w:val="24"/>
          <w:color w:val="auto"/>
        </w:rPr>
      </w:pPr>
    </w:p>
    <w:p>
      <w:pPr>
        <w:ind w:left="398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0-6365</w:t>
      </w:r>
    </w:p>
    <w:p>
      <w:pPr>
        <w:spacing w:after="0" w:line="10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i w:val="1"/>
          <w:iCs w:val="1"/>
          <w:color w:val="auto"/>
        </w:rPr>
        <w:t>_________________________________</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APOGEE ENTERPRISES,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i w:val="1"/>
          <w:iCs w:val="1"/>
          <w:color w:val="auto"/>
        </w:rPr>
        <w:t>_________________________________</w:t>
      </w:r>
    </w:p>
    <w:p>
      <w:pPr>
        <w:spacing w:after="0" w:line="132" w:lineRule="exact"/>
        <w:rPr>
          <w:sz w:val="24"/>
          <w:szCs w:val="24"/>
          <w:color w:val="auto"/>
        </w:rPr>
      </w:pPr>
    </w:p>
    <w:p>
      <w:pPr>
        <w:ind w:left="1860"/>
        <w:spacing w:after="0"/>
        <w:tabs>
          <w:tab w:leader="none" w:pos="8820" w:val="left"/>
        </w:tabs>
        <w:rPr>
          <w:sz w:val="20"/>
          <w:szCs w:val="20"/>
          <w:color w:val="auto"/>
        </w:rPr>
      </w:pPr>
      <w:r>
        <w:rPr>
          <w:rFonts w:ascii="Times New Roman" w:cs="Times New Roman" w:eastAsia="Times New Roman" w:hAnsi="Times New Roman"/>
          <w:sz w:val="17"/>
          <w:szCs w:val="17"/>
          <w:b w:val="1"/>
          <w:bCs w:val="1"/>
          <w:color w:val="auto"/>
        </w:rPr>
        <w:t>Minnesota</w:t>
      </w:r>
      <w:r>
        <w:rPr>
          <w:sz w:val="20"/>
          <w:szCs w:val="20"/>
          <w:color w:val="auto"/>
        </w:rPr>
        <w:tab/>
      </w:r>
      <w:r>
        <w:rPr>
          <w:rFonts w:ascii="Times New Roman" w:cs="Times New Roman" w:eastAsia="Times New Roman" w:hAnsi="Times New Roman"/>
          <w:sz w:val="17"/>
          <w:szCs w:val="17"/>
          <w:b w:val="1"/>
          <w:bCs w:val="1"/>
          <w:color w:val="auto"/>
        </w:rPr>
        <w:t>41-0919654</w:t>
      </w:r>
    </w:p>
    <w:p>
      <w:pPr>
        <w:spacing w:after="0" w:line="51" w:lineRule="exact"/>
        <w:rPr>
          <w:sz w:val="24"/>
          <w:szCs w:val="24"/>
          <w:color w:val="auto"/>
        </w:rPr>
      </w:pPr>
    </w:p>
    <w:p>
      <w:pPr>
        <w:ind w:left="540"/>
        <w:spacing w:after="0"/>
        <w:tabs>
          <w:tab w:leader="none" w:pos="8200" w:val="left"/>
        </w:tabs>
        <w:rPr>
          <w:sz w:val="20"/>
          <w:szCs w:val="20"/>
          <w:color w:val="auto"/>
        </w:rPr>
      </w:pPr>
      <w:r>
        <w:rPr>
          <w:rFonts w:ascii="Times New Roman" w:cs="Times New Roman" w:eastAsia="Times New Roman" w:hAnsi="Times New Roman"/>
          <w:sz w:val="14"/>
          <w:szCs w:val="14"/>
          <w:color w:val="auto"/>
        </w:rPr>
        <w:t>(State or other jurisdiction of incorporation or organization)</w:t>
      </w:r>
      <w:r>
        <w:rPr>
          <w:sz w:val="20"/>
          <w:szCs w:val="20"/>
          <w:color w:val="auto"/>
        </w:rPr>
        <w:tab/>
      </w:r>
      <w:r>
        <w:rPr>
          <w:rFonts w:ascii="Times New Roman" w:cs="Times New Roman" w:eastAsia="Times New Roman" w:hAnsi="Times New Roman"/>
          <w:sz w:val="14"/>
          <w:szCs w:val="14"/>
          <w:color w:val="auto"/>
        </w:rPr>
        <w:t>(I.R.S. Employer Identification No.)</w:t>
      </w:r>
    </w:p>
    <w:p>
      <w:pPr>
        <w:spacing w:after="0" w:line="106" w:lineRule="exact"/>
        <w:rPr>
          <w:sz w:val="24"/>
          <w:szCs w:val="24"/>
          <w:color w:val="auto"/>
        </w:rPr>
      </w:pPr>
    </w:p>
    <w:p>
      <w:pPr>
        <w:ind w:left="1080"/>
        <w:spacing w:after="0"/>
        <w:tabs>
          <w:tab w:leader="none" w:pos="4700" w:val="left"/>
          <w:tab w:leader="none" w:pos="6120" w:val="left"/>
          <w:tab w:leader="none" w:pos="9020" w:val="left"/>
        </w:tabs>
        <w:rPr>
          <w:sz w:val="20"/>
          <w:szCs w:val="20"/>
          <w:color w:val="auto"/>
        </w:rPr>
      </w:pPr>
      <w:r>
        <w:rPr>
          <w:rFonts w:ascii="Times New Roman" w:cs="Times New Roman" w:eastAsia="Times New Roman" w:hAnsi="Times New Roman"/>
          <w:sz w:val="17"/>
          <w:szCs w:val="17"/>
          <w:b w:val="1"/>
          <w:bCs w:val="1"/>
          <w:color w:val="auto"/>
        </w:rPr>
        <w:t>4400 West 78th Street, Suite 520</w:t>
      </w:r>
      <w:r>
        <w:rPr>
          <w:sz w:val="20"/>
          <w:szCs w:val="20"/>
          <w:color w:val="auto"/>
        </w:rPr>
        <w:tab/>
      </w:r>
      <w:r>
        <w:rPr>
          <w:rFonts w:ascii="Times New Roman" w:cs="Times New Roman" w:eastAsia="Times New Roman" w:hAnsi="Times New Roman"/>
          <w:sz w:val="17"/>
          <w:szCs w:val="17"/>
          <w:b w:val="1"/>
          <w:bCs w:val="1"/>
          <w:color w:val="auto"/>
        </w:rPr>
        <w:t>Minneapolis</w:t>
      </w:r>
      <w:r>
        <w:rPr>
          <w:sz w:val="20"/>
          <w:szCs w:val="20"/>
          <w:color w:val="auto"/>
        </w:rPr>
        <w:tab/>
      </w:r>
      <w:r>
        <w:rPr>
          <w:rFonts w:ascii="Times New Roman" w:cs="Times New Roman" w:eastAsia="Times New Roman" w:hAnsi="Times New Roman"/>
          <w:sz w:val="17"/>
          <w:szCs w:val="17"/>
          <w:b w:val="1"/>
          <w:bCs w:val="1"/>
          <w:color w:val="auto"/>
        </w:rPr>
        <w:t>Minnesota</w:t>
      </w:r>
      <w:r>
        <w:rPr>
          <w:sz w:val="20"/>
          <w:szCs w:val="20"/>
          <w:color w:val="auto"/>
        </w:rPr>
        <w:tab/>
      </w:r>
      <w:r>
        <w:rPr>
          <w:rFonts w:ascii="Times New Roman" w:cs="Times New Roman" w:eastAsia="Times New Roman" w:hAnsi="Times New Roman"/>
          <w:sz w:val="16"/>
          <w:szCs w:val="16"/>
          <w:b w:val="1"/>
          <w:bCs w:val="1"/>
          <w:color w:val="auto"/>
        </w:rPr>
        <w:t>55435</w:t>
      </w:r>
    </w:p>
    <w:p>
      <w:pPr>
        <w:spacing w:after="0" w:line="37" w:lineRule="exact"/>
        <w:rPr>
          <w:sz w:val="24"/>
          <w:szCs w:val="24"/>
          <w:color w:val="auto"/>
        </w:rPr>
      </w:pPr>
    </w:p>
    <w:p>
      <w:pPr>
        <w:ind w:left="1100"/>
        <w:spacing w:after="0"/>
        <w:tabs>
          <w:tab w:leader="none" w:pos="8920" w:val="left"/>
        </w:tabs>
        <w:rPr>
          <w:sz w:val="20"/>
          <w:szCs w:val="20"/>
          <w:color w:val="auto"/>
        </w:rPr>
      </w:pPr>
      <w:r>
        <w:rPr>
          <w:rFonts w:ascii="Times New Roman" w:cs="Times New Roman" w:eastAsia="Times New Roman" w:hAnsi="Times New Roman"/>
          <w:sz w:val="14"/>
          <w:szCs w:val="14"/>
          <w:color w:val="auto"/>
        </w:rPr>
        <w:t>(Address of principal executive offices)</w:t>
      </w:r>
      <w:r>
        <w:rPr>
          <w:sz w:val="20"/>
          <w:szCs w:val="20"/>
          <w:color w:val="auto"/>
        </w:rPr>
        <w:tab/>
      </w:r>
      <w:r>
        <w:rPr>
          <w:rFonts w:ascii="Times New Roman" w:cs="Times New Roman" w:eastAsia="Times New Roman" w:hAnsi="Times New Roman"/>
          <w:sz w:val="14"/>
          <w:szCs w:val="14"/>
          <w:color w:val="auto"/>
        </w:rPr>
        <w:t>(Zip Code)</w:t>
      </w: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(952) 835-1874</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1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i w:val="1"/>
          <w:iCs w:val="1"/>
          <w:color w:val="auto"/>
        </w:rPr>
        <w:t>_________________________________</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4" w:lineRule="exact"/>
        <w:rPr>
          <w:sz w:val="24"/>
          <w:szCs w:val="24"/>
          <w:color w:val="auto"/>
        </w:rPr>
      </w:pPr>
    </w:p>
    <w:p>
      <w:pPr>
        <w:ind w:left="1460"/>
        <w:spacing w:after="0"/>
        <w:tabs>
          <w:tab w:leader="none" w:pos="4860" w:val="left"/>
          <w:tab w:leader="none" w:pos="738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31" w:lineRule="exact"/>
        <w:rPr>
          <w:sz w:val="24"/>
          <w:szCs w:val="24"/>
          <w:color w:val="auto"/>
        </w:rPr>
      </w:pPr>
    </w:p>
    <w:p>
      <w:pPr>
        <w:ind w:left="500"/>
        <w:spacing w:after="0"/>
        <w:tabs>
          <w:tab w:leader="none" w:pos="5320" w:val="left"/>
          <w:tab w:leader="none" w:pos="8100" w:val="left"/>
        </w:tabs>
        <w:rPr>
          <w:sz w:val="20"/>
          <w:szCs w:val="20"/>
          <w:color w:val="auto"/>
        </w:rPr>
      </w:pPr>
      <w:r>
        <w:rPr>
          <w:rFonts w:ascii="Times New Roman" w:cs="Times New Roman" w:eastAsia="Times New Roman" w:hAnsi="Times New Roman"/>
          <w:sz w:val="18"/>
          <w:szCs w:val="18"/>
          <w:color w:val="auto"/>
        </w:rPr>
        <w:t>Common stock, par value $0.33 1/3 per share</w:t>
      </w:r>
      <w:r>
        <w:rPr>
          <w:sz w:val="20"/>
          <w:szCs w:val="20"/>
          <w:color w:val="auto"/>
        </w:rPr>
        <w:tab/>
      </w:r>
      <w:r>
        <w:rPr>
          <w:rFonts w:ascii="Times New Roman" w:cs="Times New Roman" w:eastAsia="Times New Roman" w:hAnsi="Times New Roman"/>
          <w:sz w:val="18"/>
          <w:szCs w:val="18"/>
          <w:color w:val="auto"/>
        </w:rPr>
        <w:t>APOG</w:t>
      </w:r>
      <w:r>
        <w:rPr>
          <w:sz w:val="20"/>
          <w:szCs w:val="20"/>
          <w:color w:val="auto"/>
        </w:rPr>
        <w:tab/>
      </w:r>
      <w:r>
        <w:rPr>
          <w:rFonts w:ascii="Times New Roman" w:cs="Times New Roman" w:eastAsia="Times New Roman" w:hAnsi="Times New Roman"/>
          <w:sz w:val="17"/>
          <w:szCs w:val="17"/>
          <w:color w:val="auto"/>
        </w:rPr>
        <w:t>The Nasdaq Stock Market</w:t>
      </w:r>
    </w:p>
    <w:p>
      <w:pPr>
        <w:spacing w:after="0" w:line="19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6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54"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84" w:right="339" w:bottom="1440" w:gutter="0" w:footer="0" w:header="0"/>
        </w:sectPr>
      </w:pPr>
    </w:p>
    <w:p>
      <w:pPr>
        <w:spacing w:after="0" w:line="207"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00" w:type="dxa"/>
            <w:vAlign w:val="bottom"/>
          </w:tcPr>
          <w:p>
            <w:pPr>
              <w:ind w:left="560"/>
              <w:spacing w:after="0"/>
              <w:rPr>
                <w:sz w:val="20"/>
                <w:szCs w:val="20"/>
                <w:color w:val="auto"/>
              </w:rPr>
            </w:pPr>
            <w:r>
              <w:rPr>
                <w:rFonts w:ascii="Wingdings" w:cs="Wingdings" w:eastAsia="Wingdings" w:hAnsi="Wingdings"/>
                <w:sz w:val="16"/>
                <w:szCs w:val="16"/>
                <w:b w:val="1"/>
                <w:bCs w:val="1"/>
                <w:color w:val="auto"/>
              </w:rPr>
              <w:t>x</w:t>
            </w:r>
          </w:p>
        </w:tc>
        <w:tc>
          <w:tcPr>
            <w:tcW w:w="404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Accelerated filer</w:t>
            </w:r>
          </w:p>
        </w:tc>
      </w:tr>
      <w:tr>
        <w:trPr>
          <w:trHeight w:val="294"/>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Smaller reporting company</w:t>
            </w:r>
          </w:p>
        </w:tc>
      </w:tr>
      <w:tr>
        <w:trPr>
          <w:trHeight w:val="270"/>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spacing w:after="0"/>
              <w:rPr>
                <w:sz w:val="23"/>
                <w:szCs w:val="23"/>
                <w:color w:val="auto"/>
              </w:rPr>
            </w:pPr>
          </w:p>
        </w:tc>
      </w:tr>
    </w:tbl>
    <w:p>
      <w:pPr>
        <w:ind w:left="20"/>
        <w:spacing w:after="0" w:line="231"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2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37" w:lineRule="exact"/>
        <w:rPr>
          <w:sz w:val="24"/>
          <w:szCs w:val="24"/>
          <w:color w:val="auto"/>
        </w:rPr>
      </w:pPr>
    </w:p>
    <w:p>
      <w:pPr>
        <w:sectPr>
          <w:pgSz w:w="11900" w:h="16838" w:orient="portrait"/>
          <w:cols w:equalWidth="0" w:num="2">
            <w:col w:w="10160" w:space="400"/>
            <w:col w:w="680"/>
          </w:cols>
          <w:pgMar w:left="320" w:top="884" w:right="339" w:bottom="1440" w:gutter="0" w:footer="0" w:header="0"/>
          <w:type w:val="continuous"/>
        </w:sectPr>
      </w:pPr>
    </w:p>
    <w:p>
      <w:pPr>
        <w:ind w:right="170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As of January 5, 2026, 21,510,116 shares of the registrant’s common stock, par value $0.33 1/3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120015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85725</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APOGEE ENTERPRISES, INC. AND SUBSIDIARIES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440" w:type="dxa"/>
            <w:vAlign w:val="bottom"/>
            <w:gridSpan w:val="6"/>
          </w:tcPr>
          <w:p>
            <w:pPr>
              <w:ind w:left="26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4760" w:type="dxa"/>
            <w:vAlign w:val="bottom"/>
            <w:gridSpan w:val="10"/>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4000" w:type="dxa"/>
            <w:vAlign w:val="bottom"/>
            <w:gridSpan w:val="7"/>
          </w:tcPr>
          <w:p>
            <w:pPr>
              <w:spacing w:after="0"/>
              <w:rPr>
                <w:sz w:val="22"/>
                <w:szCs w:val="22"/>
                <w:color w:val="auto"/>
              </w:rPr>
            </w:pP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Results of Operations</w:t>
            </w: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Earnings</w:t>
            </w:r>
          </w:p>
        </w:tc>
        <w:tc>
          <w:tcPr>
            <w:tcW w:w="2620" w:type="dxa"/>
            <w:vAlign w:val="bottom"/>
            <w:gridSpan w:val="2"/>
          </w:tcPr>
          <w:p>
            <w:pPr>
              <w:spacing w:after="0"/>
              <w:rPr>
                <w:sz w:val="22"/>
                <w:szCs w:val="22"/>
                <w:color w:val="auto"/>
              </w:rPr>
            </w:pPr>
          </w:p>
        </w:tc>
        <w:tc>
          <w:tcPr>
            <w:tcW w:w="330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5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w:t>
            </w:r>
          </w:p>
        </w:tc>
        <w:tc>
          <w:tcPr>
            <w:tcW w:w="2940" w:type="dxa"/>
            <w:vAlign w:val="bottom"/>
            <w:gridSpan w:val="3"/>
          </w:tcPr>
          <w:p>
            <w:pPr>
              <w:spacing w:after="0"/>
              <w:rPr>
                <w:sz w:val="22"/>
                <w:szCs w:val="22"/>
                <w:color w:val="auto"/>
              </w:rPr>
            </w:pPr>
          </w:p>
        </w:tc>
        <w:tc>
          <w:tcPr>
            <w:tcW w:w="330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2120" w:type="dxa"/>
            <w:vAlign w:val="bottom"/>
            <w:tcBorders>
              <w:left w:val="single" w:sz="8" w:color="0000FF"/>
            </w:tcBorders>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4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320" w:type="dxa"/>
            <w:vAlign w:val="bottom"/>
            <w:tcBorders>
              <w:top w:val="single" w:sz="8" w:color="0000FF"/>
            </w:tcBorders>
            <w:gridSpan w:val="2"/>
          </w:tcPr>
          <w:p>
            <w:pPr>
              <w:spacing w:after="0"/>
              <w:rPr>
                <w:sz w:val="22"/>
                <w:szCs w:val="22"/>
                <w:color w:val="auto"/>
              </w:rPr>
            </w:pPr>
          </w:p>
        </w:tc>
        <w:tc>
          <w:tcPr>
            <w:tcW w:w="4700" w:type="dxa"/>
            <w:vAlign w:val="bottom"/>
            <w:gridSpan w:val="9"/>
          </w:tcPr>
          <w:p>
            <w:pPr>
              <w:spacing w:after="0"/>
              <w:rPr>
                <w:sz w:val="22"/>
                <w:szCs w:val="22"/>
                <w:color w:val="auto"/>
              </w:rPr>
            </w:pPr>
          </w:p>
        </w:tc>
        <w:tc>
          <w:tcPr>
            <w:tcW w:w="2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tcPr>
          <w:p>
            <w:pPr>
              <w:spacing w:after="0"/>
              <w:rPr>
                <w:sz w:val="22"/>
                <w:szCs w:val="22"/>
                <w:color w:val="auto"/>
              </w:rPr>
            </w:pPr>
          </w:p>
        </w:tc>
        <w:tc>
          <w:tcPr>
            <w:tcW w:w="5160" w:type="dxa"/>
            <w:vAlign w:val="bottom"/>
            <w:gridSpan w:val="12"/>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11"/>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160" w:type="dxa"/>
            <w:vAlign w:val="bottom"/>
            <w:gridSpan w:val="1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2"/>
          </w:tcPr>
          <w:p>
            <w:pPr>
              <w:spacing w:after="0"/>
              <w:rPr>
                <w:sz w:val="22"/>
                <w:szCs w:val="22"/>
                <w:color w:val="auto"/>
              </w:rPr>
            </w:pPr>
          </w:p>
        </w:tc>
        <w:tc>
          <w:tcPr>
            <w:tcW w:w="5160" w:type="dxa"/>
            <w:vAlign w:val="bottom"/>
            <w:gridSpan w:val="12"/>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40" w:type="dxa"/>
            <w:vAlign w:val="bottom"/>
          </w:tcPr>
          <w:p>
            <w:pPr>
              <w:spacing w:after="0"/>
              <w:rPr>
                <w:sz w:val="22"/>
                <w:szCs w:val="22"/>
                <w:color w:val="auto"/>
              </w:rPr>
            </w:pPr>
          </w:p>
        </w:tc>
      </w:tr>
      <w:tr>
        <w:trPr>
          <w:trHeight w:val="88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gridSpan w:val="14"/>
          </w:tcPr>
          <w:p>
            <w:pPr>
              <w:ind w:left="4240"/>
              <w:spacing w:after="0"/>
              <w:rPr>
                <w:sz w:val="20"/>
                <w:szCs w:val="20"/>
                <w:color w:val="auto"/>
              </w:rPr>
            </w:pPr>
            <w:r>
              <w:rPr>
                <w:rFonts w:ascii="Times New Roman" w:cs="Times New Roman" w:eastAsia="Times New Roman" w:hAnsi="Times New Roman"/>
                <w:sz w:val="17"/>
                <w:szCs w:val="17"/>
                <w:color w:val="auto"/>
                <w:w w:val="70"/>
              </w:rPr>
              <w:t>2</w:t>
            </w:r>
          </w:p>
        </w:tc>
        <w:tc>
          <w:tcPr>
            <w:tcW w:w="2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i w:val="1"/>
                <w:iCs w:val="1"/>
                <w:color w:val="auto"/>
                <w:w w:val="99"/>
              </w:rPr>
              <w:t>(Unaudited)</w:t>
            </w: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stock data)</w:t>
            </w:r>
          </w:p>
        </w:tc>
        <w:tc>
          <w:tcPr>
            <w:tcW w:w="220" w:type="dxa"/>
            <w:vAlign w:val="bottom"/>
          </w:tcPr>
          <w:p>
            <w:pPr>
              <w:spacing w:after="0"/>
              <w:rPr>
                <w:sz w:val="19"/>
                <w:szCs w:val="19"/>
                <w:color w:val="auto"/>
              </w:rPr>
            </w:pPr>
          </w:p>
        </w:tc>
        <w:tc>
          <w:tcPr>
            <w:tcW w:w="18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November 29, 2025</w:t>
            </w:r>
          </w:p>
        </w:tc>
        <w:tc>
          <w:tcPr>
            <w:tcW w:w="320" w:type="dxa"/>
            <w:vAlign w:val="bottom"/>
          </w:tcPr>
          <w:p>
            <w:pPr>
              <w:spacing w:after="0"/>
              <w:rPr>
                <w:sz w:val="19"/>
                <w:szCs w:val="19"/>
                <w:color w:val="auto"/>
              </w:rPr>
            </w:pPr>
          </w:p>
        </w:tc>
        <w:tc>
          <w:tcPr>
            <w:tcW w:w="1680" w:type="dxa"/>
            <w:vAlign w:val="bottom"/>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March 1, 2025</w:t>
            </w:r>
          </w:p>
        </w:tc>
      </w:tr>
      <w:tr>
        <w:trPr>
          <w:trHeight w:val="226"/>
        </w:trPr>
        <w:tc>
          <w:tcPr>
            <w:tcW w:w="7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r>
      <w:tr>
        <w:trPr>
          <w:trHeight w:val="230"/>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41,448</w:t>
            </w:r>
          </w:p>
        </w:tc>
      </w:tr>
      <w:tr>
        <w:trPr>
          <w:trHeight w:val="229"/>
        </w:trPr>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185,590</w:t>
            </w:r>
          </w:p>
        </w:tc>
      </w:tr>
      <w:tr>
        <w:trPr>
          <w:trHeight w:val="230"/>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92,305</w:t>
            </w:r>
          </w:p>
        </w:tc>
      </w:tr>
      <w:tr>
        <w:trPr>
          <w:trHeight w:val="229"/>
        </w:trPr>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71,842</w:t>
            </w:r>
          </w:p>
        </w:tc>
      </w:tr>
      <w:tr>
        <w:trPr>
          <w:trHeight w:val="230"/>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50,919</w:t>
            </w:r>
          </w:p>
        </w:tc>
      </w:tr>
      <w:tr>
        <w:trPr>
          <w:trHeight w:val="223"/>
        </w:trPr>
        <w:tc>
          <w:tcPr>
            <w:tcW w:w="714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442,104</w:t>
            </w:r>
          </w:p>
        </w:tc>
      </w:tr>
      <w:tr>
        <w:trPr>
          <w:trHeight w:val="223"/>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$476,911 and $469,480</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268,139</w:t>
            </w:r>
          </w:p>
        </w:tc>
      </w:tr>
      <w:tr>
        <w:trPr>
          <w:trHeight w:val="229"/>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62,314</w:t>
            </w:r>
          </w:p>
        </w:tc>
      </w:tr>
      <w:tr>
        <w:trPr>
          <w:trHeight w:val="230"/>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235,775</w:t>
            </w:r>
          </w:p>
        </w:tc>
      </w:tr>
      <w:tr>
        <w:trPr>
          <w:trHeight w:val="229"/>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128,417</w:t>
            </w:r>
          </w:p>
        </w:tc>
      </w:tr>
      <w:tr>
        <w:trPr>
          <w:trHeight w:val="22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38,520</w:t>
            </w:r>
          </w:p>
        </w:tc>
      </w:tr>
      <w:tr>
        <w:trPr>
          <w:trHeight w:val="223"/>
        </w:trPr>
        <w:tc>
          <w:tcPr>
            <w:tcW w:w="71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1,116,028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1,175,269</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97"/>
        </w:trPr>
        <w:tc>
          <w:tcPr>
            <w:tcW w:w="714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29"/>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98,804</w:t>
            </w:r>
          </w:p>
        </w:tc>
      </w:tr>
      <w:tr>
        <w:trPr>
          <w:trHeight w:val="230"/>
        </w:trPr>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48,510</w:t>
            </w:r>
          </w:p>
        </w:tc>
      </w:tr>
      <w:tr>
        <w:trPr>
          <w:trHeight w:val="229"/>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35,193</w:t>
            </w:r>
          </w:p>
        </w:tc>
      </w:tr>
      <w:tr>
        <w:trPr>
          <w:trHeight w:val="230"/>
        </w:trPr>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15,290</w:t>
            </w:r>
          </w:p>
        </w:tc>
      </w:tr>
      <w:tr>
        <w:trPr>
          <w:trHeight w:val="230"/>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87,659</w:t>
            </w:r>
          </w:p>
        </w:tc>
      </w:tr>
      <w:tr>
        <w:trPr>
          <w:trHeight w:val="223"/>
        </w:trPr>
        <w:tc>
          <w:tcPr>
            <w:tcW w:w="714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285,456</w:t>
            </w:r>
          </w:p>
        </w:tc>
      </w:tr>
      <w:tr>
        <w:trPr>
          <w:trHeight w:val="223"/>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285,000</w:t>
            </w:r>
          </w:p>
        </w:tc>
      </w:tr>
      <w:tr>
        <w:trPr>
          <w:trHeight w:val="230"/>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51,632</w:t>
            </w:r>
          </w:p>
        </w:tc>
      </w:tr>
      <w:tr>
        <w:trPr>
          <w:trHeight w:val="230"/>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self-insurance reserves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30,382</w:t>
            </w:r>
          </w:p>
        </w:tc>
      </w:tr>
      <w:tr>
        <w:trPr>
          <w:trHeight w:val="229"/>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34,901</w:t>
            </w:r>
          </w:p>
        </w:tc>
      </w:tr>
      <w:tr>
        <w:trPr>
          <w:trHeight w:val="230"/>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6)</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30"/>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175"/>
        </w:trPr>
        <w:tc>
          <w:tcPr>
            <w:tcW w:w="714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Junior preferred stock of $1.00 par value; authorized 200,000 shares; zero issued and</w:t>
            </w: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243"/>
        </w:trPr>
        <w:tc>
          <w:tcPr>
            <w:tcW w:w="71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outstanding</w:t>
            </w:r>
          </w:p>
        </w:tc>
        <w:tc>
          <w:tcPr>
            <w:tcW w:w="22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14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of $0.33-1/3 par value; authorized 50,000,000 shares; issued and</w:t>
            </w: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3"/>
        </w:trPr>
        <w:tc>
          <w:tcPr>
            <w:tcW w:w="7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outstanding 21,494,322 and 21,417,631, respectively</w:t>
            </w:r>
          </w:p>
        </w:tc>
        <w:tc>
          <w:tcPr>
            <w:tcW w:w="2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w:t>
            </w:r>
          </w:p>
        </w:tc>
      </w:tr>
      <w:tr>
        <w:trPr>
          <w:trHeight w:val="229"/>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156,075</w:t>
            </w:r>
          </w:p>
        </w:tc>
      </w:tr>
      <w:tr>
        <w:trPr>
          <w:trHeight w:val="230"/>
        </w:trPr>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359,976</w:t>
            </w:r>
          </w:p>
        </w:tc>
      </w:tr>
      <w:tr>
        <w:trPr>
          <w:trHeight w:val="230"/>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(35,292)</w:t>
            </w:r>
          </w:p>
        </w:tc>
      </w:tr>
      <w:tr>
        <w:trPr>
          <w:trHeight w:val="223"/>
        </w:trPr>
        <w:tc>
          <w:tcPr>
            <w:tcW w:w="714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512,291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487,898</w:t>
            </w:r>
          </w:p>
        </w:tc>
      </w:tr>
      <w:tr>
        <w:trPr>
          <w:trHeight w:val="248"/>
        </w:trPr>
        <w:tc>
          <w:tcPr>
            <w:tcW w:w="71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1,175,269</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40" w:type="dxa"/>
            <w:vAlign w:val="bottom"/>
            <w:tcBorders>
              <w:bottom w:val="single" w:sz="8" w:color="auto"/>
            </w:tcBorders>
          </w:tcPr>
          <w:p>
            <w:pPr>
              <w:spacing w:after="0"/>
              <w:rPr>
                <w:sz w:val="18"/>
                <w:szCs w:val="18"/>
                <w:color w:val="auto"/>
              </w:rPr>
            </w:pPr>
          </w:p>
        </w:tc>
      </w:tr>
      <w:tr>
        <w:trPr>
          <w:trHeight w:val="211"/>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November 29, 2025</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November 30, 2024</w:t>
            </w:r>
          </w:p>
        </w:tc>
        <w:tc>
          <w:tcPr>
            <w:tcW w:w="100" w:type="dxa"/>
            <w:vAlign w:val="bottom"/>
          </w:tcPr>
          <w:p>
            <w:pPr>
              <w:spacing w:after="0"/>
              <w:rPr>
                <w:sz w:val="18"/>
                <w:szCs w:val="18"/>
                <w:color w:val="auto"/>
              </w:rPr>
            </w:pPr>
          </w:p>
        </w:tc>
        <w:tc>
          <w:tcPr>
            <w:tcW w:w="16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November 29, 2025</w:t>
            </w:r>
          </w:p>
        </w:tc>
        <w:tc>
          <w:tcPr>
            <w:tcW w:w="154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November 30, 2024</w:t>
            </w:r>
          </w:p>
        </w:tc>
      </w:tr>
      <w:tr>
        <w:trPr>
          <w:trHeight w:val="225"/>
        </w:trPr>
        <w:tc>
          <w:tcPr>
            <w:tcW w:w="4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348,563</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341,344</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1,053,379</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1,015,300</w:t>
            </w:r>
          </w:p>
        </w:tc>
      </w:tr>
      <w:tr>
        <w:trPr>
          <w:trHeight w:val="229"/>
        </w:trPr>
        <w:tc>
          <w:tcPr>
            <w:tcW w:w="4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265,571</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812,654</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729,975</w:t>
            </w:r>
          </w:p>
        </w:tc>
      </w:tr>
      <w:tr>
        <w:trPr>
          <w:trHeight w:val="223"/>
        </w:trPr>
        <w:tc>
          <w:tcPr>
            <w:tcW w:w="4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240,725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285,325</w:t>
            </w:r>
          </w:p>
        </w:tc>
      </w:tr>
      <w:tr>
        <w:trPr>
          <w:trHeight w:val="229"/>
        </w:trPr>
        <w:tc>
          <w:tcPr>
            <w:tcW w:w="4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58,113</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182,026</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173,350</w:t>
            </w:r>
          </w:p>
        </w:tc>
      </w:tr>
      <w:tr>
        <w:trPr>
          <w:trHeight w:val="223"/>
        </w:trPr>
        <w:tc>
          <w:tcPr>
            <w:tcW w:w="4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111,975</w:t>
            </w:r>
          </w:p>
        </w:tc>
      </w:tr>
      <w:tr>
        <w:trPr>
          <w:trHeight w:val="23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w:t>
            </w:r>
          </w:p>
        </w:tc>
      </w:tr>
      <w:tr>
        <w:trPr>
          <w:trHeight w:val="22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23"/>
        </w:trPr>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54,467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109,834</w:t>
            </w:r>
          </w:p>
        </w:tc>
      </w:tr>
      <w:tr>
        <w:trPr>
          <w:trHeight w:val="22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16,956</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27,268</w:t>
            </w:r>
          </w:p>
        </w:tc>
      </w:tr>
      <w:tr>
        <w:trPr>
          <w:trHeight w:val="223"/>
        </w:trPr>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16,549</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37,511</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82,566</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Pr>
          <w:p>
            <w:pPr>
              <w:spacing w:after="0"/>
              <w:rPr>
                <w:sz w:val="19"/>
                <w:szCs w:val="19"/>
                <w:color w:val="auto"/>
              </w:rPr>
            </w:pPr>
          </w:p>
        </w:tc>
        <w:tc>
          <w:tcPr>
            <w:tcW w:w="78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7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3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21,789</w:t>
            </w:r>
          </w:p>
        </w:tc>
      </w:tr>
      <w:tr>
        <w:trPr>
          <w:trHeight w:val="234"/>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21,592</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21,568</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21,937</w:t>
            </w: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600"/>
        <w:spacing w:after="0" w:line="402"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COMPREHENSIVE EARNINGS </w:t>
      </w:r>
      <w:r>
        <w:rPr>
          <w:rFonts w:ascii="Times New Roman" w:cs="Times New Roman" w:eastAsia="Times New Roman" w:hAnsi="Times New Roman"/>
          <w:sz w:val="18"/>
          <w:szCs w:val="18"/>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20" w:type="dxa"/>
            <w:vAlign w:val="bottom"/>
            <w:tcBorders>
              <w:bottom w:val="single" w:sz="8" w:color="auto"/>
            </w:tcBorders>
          </w:tcPr>
          <w:p>
            <w:pPr>
              <w:spacing w:after="0"/>
              <w:rPr>
                <w:sz w:val="18"/>
                <w:szCs w:val="18"/>
                <w:color w:val="auto"/>
              </w:rPr>
            </w:pPr>
          </w:p>
        </w:tc>
      </w:tr>
      <w:tr>
        <w:trPr>
          <w:trHeight w:val="211"/>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November 29, 2025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November 30, 2024</w:t>
            </w:r>
          </w:p>
        </w:tc>
        <w:tc>
          <w:tcPr>
            <w:tcW w:w="120" w:type="dxa"/>
            <w:vAlign w:val="bottom"/>
          </w:tcPr>
          <w:p>
            <w:pPr>
              <w:spacing w:after="0"/>
              <w:rPr>
                <w:sz w:val="18"/>
                <w:szCs w:val="18"/>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November 29, 2025</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November 30, 2024</w:t>
            </w:r>
          </w:p>
        </w:tc>
      </w:tr>
      <w:tr>
        <w:trPr>
          <w:trHeight w:val="225"/>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16,549</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20,989</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37,511</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82,566</w:t>
            </w: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176"/>
        </w:trPr>
        <w:tc>
          <w:tcPr>
            <w:tcW w:w="486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gain (loss) on marketable securities, net of $9,</w:t>
            </w: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43"/>
        </w:trPr>
        <w:tc>
          <w:tcPr>
            <w:tcW w:w="4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$(13), $17, and $16 of tax expense (benefit), respectively</w:t>
            </w: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176"/>
        </w:trPr>
        <w:tc>
          <w:tcPr>
            <w:tcW w:w="486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(loss) gain on derivative instruments, net of</w:t>
            </w: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4"/>
        </w:trPr>
        <w:tc>
          <w:tcPr>
            <w:tcW w:w="4860" w:type="dxa"/>
            <w:vAlign w:val="bottom"/>
            <w:gridSpan w:val="2"/>
          </w:tcPr>
          <w:p>
            <w:pPr>
              <w:ind w:left="520"/>
              <w:spacing w:after="0" w:line="184" w:lineRule="exact"/>
              <w:rPr>
                <w:sz w:val="20"/>
                <w:szCs w:val="20"/>
                <w:color w:val="auto"/>
              </w:rPr>
            </w:pPr>
            <w:r>
              <w:rPr>
                <w:rFonts w:ascii="Times New Roman" w:cs="Times New Roman" w:eastAsia="Times New Roman" w:hAnsi="Times New Roman"/>
                <w:sz w:val="18"/>
                <w:szCs w:val="18"/>
                <w:color w:val="auto"/>
              </w:rPr>
              <w:t>$(73), $(21), $(249), and $86 of tax (benefit) expense,</w:t>
            </w: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4"/>
        </w:trPr>
        <w:tc>
          <w:tcPr>
            <w:tcW w:w="4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29"/>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r>
      <w:tr>
        <w:trPr>
          <w:trHeight w:val="223"/>
        </w:trPr>
        <w:tc>
          <w:tcPr>
            <w:tcW w:w="4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 earnings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w:t>
            </w:r>
          </w:p>
        </w:tc>
      </w:tr>
      <w:tr>
        <w:trPr>
          <w:trHeight w:val="248"/>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earnings</w:t>
            </w: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80,127</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November 29, 2025</w:t>
            </w:r>
          </w:p>
        </w:tc>
        <w:tc>
          <w:tcPr>
            <w:tcW w:w="140" w:type="dxa"/>
            <w:vAlign w:val="bottom"/>
          </w:tcPr>
          <w:p>
            <w:pPr>
              <w:spacing w:after="0"/>
              <w:rPr>
                <w:sz w:val="18"/>
                <w:szCs w:val="18"/>
                <w:color w:val="auto"/>
              </w:rPr>
            </w:pP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November 30, 2024</w:t>
            </w:r>
          </w:p>
        </w:tc>
        <w:tc>
          <w:tcPr>
            <w:tcW w:w="0" w:type="dxa"/>
            <w:vAlign w:val="bottom"/>
          </w:tcPr>
          <w:p>
            <w:pPr>
              <w:spacing w:after="0"/>
              <w:rPr>
                <w:sz w:val="1"/>
                <w:szCs w:val="1"/>
                <w:color w:val="auto"/>
              </w:rPr>
            </w:pPr>
          </w:p>
        </w:tc>
      </w:tr>
      <w:tr>
        <w:trPr>
          <w:trHeight w:val="211"/>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37,511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82,566</w:t>
            </w:r>
          </w:p>
        </w:tc>
        <w:tc>
          <w:tcPr>
            <w:tcW w:w="0" w:type="dxa"/>
            <w:vAlign w:val="bottom"/>
          </w:tcPr>
          <w:p>
            <w:pPr>
              <w:spacing w:after="0"/>
              <w:rPr>
                <w:sz w:val="1"/>
                <w:szCs w:val="1"/>
                <w:color w:val="auto"/>
              </w:rPr>
            </w:pPr>
          </w:p>
        </w:tc>
      </w:tr>
      <w:tr>
        <w:trPr>
          <w:trHeight w:val="21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30,798</w:t>
            </w:r>
          </w:p>
        </w:tc>
        <w:tc>
          <w:tcPr>
            <w:tcW w:w="0" w:type="dxa"/>
            <w:vAlign w:val="bottom"/>
          </w:tcPr>
          <w:p>
            <w:pPr>
              <w:spacing w:after="0"/>
              <w:rPr>
                <w:sz w:val="1"/>
                <w:szCs w:val="1"/>
                <w:color w:val="auto"/>
              </w:rPr>
            </w:pPr>
          </w:p>
        </w:tc>
      </w:tr>
      <w:tr>
        <w:trPr>
          <w:trHeight w:val="21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8,067</w:t>
            </w:r>
          </w:p>
        </w:tc>
        <w:tc>
          <w:tcPr>
            <w:tcW w:w="0" w:type="dxa"/>
            <w:vAlign w:val="bottom"/>
          </w:tcPr>
          <w:p>
            <w:pPr>
              <w:spacing w:after="0"/>
              <w:rPr>
                <w:sz w:val="1"/>
                <w:szCs w:val="1"/>
                <w:color w:val="auto"/>
              </w:rPr>
            </w:pPr>
          </w:p>
        </w:tc>
      </w:tr>
      <w:tr>
        <w:trPr>
          <w:trHeight w:val="21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5,109</w:t>
            </w:r>
          </w:p>
        </w:tc>
        <w:tc>
          <w:tcPr>
            <w:tcW w:w="0" w:type="dxa"/>
            <w:vAlign w:val="bottom"/>
          </w:tcPr>
          <w:p>
            <w:pPr>
              <w:spacing w:after="0"/>
              <w:rPr>
                <w:sz w:val="1"/>
                <w:szCs w:val="1"/>
                <w:color w:val="auto"/>
              </w:rPr>
            </w:pPr>
          </w:p>
        </w:tc>
      </w:tr>
      <w:tr>
        <w:trPr>
          <w:trHeight w:val="21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disposal of property, plant and equipment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1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Impairment on intangible assets</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Settlement of New Markets Tax Credit transaction</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Non-cash lease expense</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9,926</w:t>
            </w:r>
          </w:p>
        </w:tc>
        <w:tc>
          <w:tcPr>
            <w:tcW w:w="0" w:type="dxa"/>
            <w:vAlign w:val="bottom"/>
          </w:tcPr>
          <w:p>
            <w:pPr>
              <w:spacing w:after="0"/>
              <w:rPr>
                <w:sz w:val="1"/>
                <w:szCs w:val="1"/>
                <w:color w:val="auto"/>
              </w:rPr>
            </w:pPr>
          </w:p>
        </w:tc>
      </w:tr>
      <w:tr>
        <w:trPr>
          <w:trHeight w:val="21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net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0" w:type="dxa"/>
            <w:vAlign w:val="bottom"/>
          </w:tcPr>
          <w:p>
            <w:pPr>
              <w:spacing w:after="0"/>
              <w:rPr>
                <w:sz w:val="1"/>
                <w:szCs w:val="1"/>
                <w:color w:val="auto"/>
              </w:rPr>
            </w:pPr>
          </w:p>
        </w:tc>
      </w:tr>
      <w:tr>
        <w:trPr>
          <w:trHeight w:val="21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business acquired:</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Receivables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0" w:type="dxa"/>
            <w:vAlign w:val="bottom"/>
          </w:tcPr>
          <w:p>
            <w:pPr>
              <w:spacing w:after="0"/>
              <w:rPr>
                <w:sz w:val="1"/>
                <w:szCs w:val="1"/>
                <w:color w:val="auto"/>
              </w:rPr>
            </w:pPr>
          </w:p>
        </w:tc>
      </w:tr>
      <w:tr>
        <w:trPr>
          <w:trHeight w:val="21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(8,284)</w:t>
            </w:r>
          </w:p>
        </w:tc>
        <w:tc>
          <w:tcPr>
            <w:tcW w:w="0" w:type="dxa"/>
            <w:vAlign w:val="bottom"/>
          </w:tcPr>
          <w:p>
            <w:pPr>
              <w:spacing w:after="0"/>
              <w:rPr>
                <w:sz w:val="1"/>
                <w:szCs w:val="1"/>
                <w:color w:val="auto"/>
              </w:rPr>
            </w:pPr>
          </w:p>
        </w:tc>
      </w:tr>
      <w:tr>
        <w:trPr>
          <w:trHeight w:val="21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Contract assets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(8,168)</w:t>
            </w:r>
          </w:p>
        </w:tc>
        <w:tc>
          <w:tcPr>
            <w:tcW w:w="0" w:type="dxa"/>
            <w:vAlign w:val="bottom"/>
          </w:tcPr>
          <w:p>
            <w:pPr>
              <w:spacing w:after="0"/>
              <w:rPr>
                <w:sz w:val="1"/>
                <w:szCs w:val="1"/>
                <w:color w:val="auto"/>
              </w:rPr>
            </w:pPr>
          </w:p>
        </w:tc>
      </w:tr>
      <w:tr>
        <w:trPr>
          <w:trHeight w:val="21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6,796</w:t>
            </w:r>
          </w:p>
        </w:tc>
        <w:tc>
          <w:tcPr>
            <w:tcW w:w="0" w:type="dxa"/>
            <w:vAlign w:val="bottom"/>
          </w:tcPr>
          <w:p>
            <w:pPr>
              <w:spacing w:after="0"/>
              <w:rPr>
                <w:sz w:val="1"/>
                <w:szCs w:val="1"/>
                <w:color w:val="auto"/>
              </w:rPr>
            </w:pPr>
          </w:p>
        </w:tc>
      </w:tr>
      <w:tr>
        <w:trPr>
          <w:trHeight w:val="21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(20,958)</w:t>
            </w:r>
          </w:p>
        </w:tc>
        <w:tc>
          <w:tcPr>
            <w:tcW w:w="0" w:type="dxa"/>
            <w:vAlign w:val="bottom"/>
          </w:tcPr>
          <w:p>
            <w:pPr>
              <w:spacing w:after="0"/>
              <w:rPr>
                <w:sz w:val="1"/>
                <w:szCs w:val="1"/>
                <w:color w:val="auto"/>
              </w:rPr>
            </w:pPr>
          </w:p>
        </w:tc>
      </w:tr>
      <w:tr>
        <w:trPr>
          <w:trHeight w:val="21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Contract liabilities</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11,499</w:t>
            </w:r>
          </w:p>
        </w:tc>
        <w:tc>
          <w:tcPr>
            <w:tcW w:w="0" w:type="dxa"/>
            <w:vAlign w:val="bottom"/>
          </w:tcPr>
          <w:p>
            <w:pPr>
              <w:spacing w:after="0"/>
              <w:rPr>
                <w:sz w:val="1"/>
                <w:szCs w:val="1"/>
                <w:color w:val="auto"/>
              </w:rPr>
            </w:pPr>
          </w:p>
        </w:tc>
      </w:tr>
      <w:tr>
        <w:trPr>
          <w:trHeight w:val="21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(9,387)</w:t>
            </w:r>
          </w:p>
        </w:tc>
        <w:tc>
          <w:tcPr>
            <w:tcW w:w="0" w:type="dxa"/>
            <w:vAlign w:val="bottom"/>
          </w:tcPr>
          <w:p>
            <w:pPr>
              <w:spacing w:after="0"/>
              <w:rPr>
                <w:sz w:val="1"/>
                <w:szCs w:val="1"/>
                <w:color w:val="auto"/>
              </w:rPr>
            </w:pPr>
          </w:p>
        </w:tc>
      </w:tr>
      <w:tr>
        <w:trPr>
          <w:trHeight w:val="21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Accrued income taxes</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(6,498)</w:t>
            </w:r>
          </w:p>
        </w:tc>
        <w:tc>
          <w:tcPr>
            <w:tcW w:w="0" w:type="dxa"/>
            <w:vAlign w:val="bottom"/>
          </w:tcPr>
          <w:p>
            <w:pPr>
              <w:spacing w:after="0"/>
              <w:rPr>
                <w:sz w:val="1"/>
                <w:szCs w:val="1"/>
                <w:color w:val="auto"/>
              </w:rPr>
            </w:pPr>
          </w:p>
        </w:tc>
      </w:tr>
      <w:tr>
        <w:trPr>
          <w:trHeight w:val="21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(28,437)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(6,104)</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95,130</w:t>
            </w:r>
          </w:p>
        </w:tc>
        <w:tc>
          <w:tcPr>
            <w:tcW w:w="0" w:type="dxa"/>
            <w:vAlign w:val="bottom"/>
          </w:tcPr>
          <w:p>
            <w:pPr>
              <w:spacing w:after="0"/>
              <w:rPr>
                <w:sz w:val="1"/>
                <w:szCs w:val="1"/>
                <w:color w:val="auto"/>
              </w:rPr>
            </w:pPr>
          </w:p>
        </w:tc>
      </w:tr>
      <w:tr>
        <w:trPr>
          <w:trHeight w:val="19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(24,696)</w:t>
            </w:r>
          </w:p>
        </w:tc>
        <w:tc>
          <w:tcPr>
            <w:tcW w:w="0" w:type="dxa"/>
            <w:vAlign w:val="bottom"/>
          </w:tcPr>
          <w:p>
            <w:pPr>
              <w:spacing w:after="0"/>
              <w:rPr>
                <w:sz w:val="1"/>
                <w:szCs w:val="1"/>
                <w:color w:val="auto"/>
              </w:rPr>
            </w:pPr>
          </w:p>
        </w:tc>
      </w:tr>
      <w:tr>
        <w:trPr>
          <w:trHeight w:val="21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sales of property, plant and equipment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0" w:type="dxa"/>
            <w:vAlign w:val="bottom"/>
          </w:tcPr>
          <w:p>
            <w:pPr>
              <w:spacing w:after="0"/>
              <w:rPr>
                <w:sz w:val="1"/>
                <w:szCs w:val="1"/>
                <w:color w:val="auto"/>
              </w:rPr>
            </w:pPr>
          </w:p>
        </w:tc>
      </w:tr>
      <w:tr>
        <w:trPr>
          <w:trHeight w:val="21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0" w:type="dxa"/>
            <w:vAlign w:val="bottom"/>
          </w:tcPr>
          <w:p>
            <w:pPr>
              <w:spacing w:after="0"/>
              <w:rPr>
                <w:sz w:val="1"/>
                <w:szCs w:val="1"/>
                <w:color w:val="auto"/>
              </w:rPr>
            </w:pPr>
          </w:p>
        </w:tc>
      </w:tr>
      <w:tr>
        <w:trPr>
          <w:trHeight w:val="21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Sales/maturities of marketable securities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0" w:type="dxa"/>
            <w:vAlign w:val="bottom"/>
          </w:tcPr>
          <w:p>
            <w:pPr>
              <w:spacing w:after="0"/>
              <w:rPr>
                <w:sz w:val="1"/>
                <w:szCs w:val="1"/>
                <w:color w:val="auto"/>
              </w:rPr>
            </w:pPr>
          </w:p>
        </w:tc>
      </w:tr>
      <w:tr>
        <w:trPr>
          <w:trHeight w:val="21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14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(233,125)</w:t>
            </w:r>
          </w:p>
        </w:tc>
        <w:tc>
          <w:tcPr>
            <w:tcW w:w="0" w:type="dxa"/>
            <w:vAlign w:val="bottom"/>
          </w:tcPr>
          <w:p>
            <w:pPr>
              <w:spacing w:after="0"/>
              <w:rPr>
                <w:sz w:val="1"/>
                <w:szCs w:val="1"/>
                <w:color w:val="auto"/>
              </w:rPr>
            </w:pPr>
          </w:p>
        </w:tc>
      </w:tr>
      <w:tr>
        <w:trPr>
          <w:trHeight w:val="212"/>
        </w:trPr>
        <w:tc>
          <w:tcPr>
            <w:tcW w:w="7840" w:type="dxa"/>
            <w:vAlign w:val="bottom"/>
            <w:tcBorders>
              <w:top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(257,101)</w:t>
            </w:r>
          </w:p>
        </w:tc>
        <w:tc>
          <w:tcPr>
            <w:tcW w:w="0" w:type="dxa"/>
            <w:vAlign w:val="bottom"/>
          </w:tcPr>
          <w:p>
            <w:pPr>
              <w:spacing w:after="0"/>
              <w:rPr>
                <w:sz w:val="1"/>
                <w:szCs w:val="1"/>
                <w:color w:val="auto"/>
              </w:rPr>
            </w:pPr>
          </w:p>
        </w:tc>
      </w:tr>
      <w:tr>
        <w:trPr>
          <w:trHeight w:val="194"/>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revolving credit facilities</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95,201</w:t>
            </w:r>
          </w:p>
        </w:tc>
        <w:tc>
          <w:tcPr>
            <w:tcW w:w="0" w:type="dxa"/>
            <w:vAlign w:val="bottom"/>
          </w:tcPr>
          <w:p>
            <w:pPr>
              <w:spacing w:after="0"/>
              <w:rPr>
                <w:sz w:val="1"/>
                <w:szCs w:val="1"/>
                <w:color w:val="auto"/>
              </w:rPr>
            </w:pPr>
          </w:p>
        </w:tc>
      </w:tr>
      <w:tr>
        <w:trPr>
          <w:trHeight w:val="21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Repayment on revolving credit facilities</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(115,201)</w:t>
            </w:r>
          </w:p>
        </w:tc>
        <w:tc>
          <w:tcPr>
            <w:tcW w:w="0" w:type="dxa"/>
            <w:vAlign w:val="bottom"/>
          </w:tcPr>
          <w:p>
            <w:pPr>
              <w:spacing w:after="0"/>
              <w:rPr>
                <w:sz w:val="1"/>
                <w:szCs w:val="1"/>
                <w:color w:val="auto"/>
              </w:rPr>
            </w:pPr>
          </w:p>
        </w:tc>
      </w:tr>
      <w:tr>
        <w:trPr>
          <w:trHeight w:val="21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term loans</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0" w:type="dxa"/>
            <w:vAlign w:val="bottom"/>
          </w:tcPr>
          <w:p>
            <w:pPr>
              <w:spacing w:after="0"/>
              <w:rPr>
                <w:sz w:val="1"/>
                <w:szCs w:val="1"/>
                <w:color w:val="auto"/>
              </w:rPr>
            </w:pPr>
          </w:p>
        </w:tc>
      </w:tr>
      <w:tr>
        <w:trPr>
          <w:trHeight w:val="21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Repayment of term loans</w:t>
            </w:r>
          </w:p>
        </w:tc>
        <w:tc>
          <w:tcPr>
            <w:tcW w:w="14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0" w:type="dxa"/>
            <w:vAlign w:val="bottom"/>
          </w:tcPr>
          <w:p>
            <w:pPr>
              <w:spacing w:after="0"/>
              <w:rPr>
                <w:sz w:val="1"/>
                <w:szCs w:val="1"/>
                <w:color w:val="auto"/>
              </w:rPr>
            </w:pPr>
          </w:p>
        </w:tc>
      </w:tr>
      <w:tr>
        <w:trPr>
          <w:trHeight w:val="21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(15,061)</w:t>
            </w:r>
          </w:p>
        </w:tc>
        <w:tc>
          <w:tcPr>
            <w:tcW w:w="0" w:type="dxa"/>
            <w:vAlign w:val="bottom"/>
          </w:tcPr>
          <w:p>
            <w:pPr>
              <w:spacing w:after="0"/>
              <w:rPr>
                <w:sz w:val="1"/>
                <w:szCs w:val="1"/>
                <w:color w:val="auto"/>
              </w:rPr>
            </w:pPr>
          </w:p>
        </w:tc>
      </w:tr>
      <w:tr>
        <w:trPr>
          <w:trHeight w:val="21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Dividends paid</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(16,238)</w:t>
            </w:r>
          </w:p>
        </w:tc>
        <w:tc>
          <w:tcPr>
            <w:tcW w:w="0" w:type="dxa"/>
            <w:vAlign w:val="bottom"/>
          </w:tcPr>
          <w:p>
            <w:pPr>
              <w:spacing w:after="0"/>
              <w:rPr>
                <w:sz w:val="1"/>
                <w:szCs w:val="1"/>
                <w:color w:val="auto"/>
              </w:rPr>
            </w:pPr>
          </w:p>
        </w:tc>
      </w:tr>
      <w:tr>
        <w:trPr>
          <w:trHeight w:val="21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(3,798)</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(5,884)</w:t>
            </w:r>
          </w:p>
        </w:tc>
        <w:tc>
          <w:tcPr>
            <w:tcW w:w="0" w:type="dxa"/>
            <w:vAlign w:val="bottom"/>
          </w:tcPr>
          <w:p>
            <w:pPr>
              <w:spacing w:after="0"/>
              <w:rPr>
                <w:sz w:val="1"/>
                <w:szCs w:val="1"/>
                <w:color w:val="auto"/>
              </w:rPr>
            </w:pPr>
          </w:p>
        </w:tc>
      </w:tr>
      <w:tr>
        <w:trPr>
          <w:trHeight w:val="212"/>
        </w:trPr>
        <w:tc>
          <w:tcPr>
            <w:tcW w:w="78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(51,909)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169,019</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w:t>
            </w: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0" w:type="dxa"/>
            <w:vAlign w:val="bottom"/>
          </w:tcPr>
          <w:p>
            <w:pPr>
              <w:spacing w:after="0"/>
              <w:rPr>
                <w:sz w:val="1"/>
                <w:szCs w:val="1"/>
                <w:color w:val="auto"/>
              </w:rPr>
            </w:pPr>
          </w:p>
        </w:tc>
      </w:tr>
      <w:tr>
        <w:trPr>
          <w:trHeight w:val="212"/>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 increase in cash, cash equivalents and restricted cash</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6,639</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41,448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37,216</w:t>
            </w:r>
          </w:p>
        </w:tc>
        <w:tc>
          <w:tcPr>
            <w:tcW w:w="0" w:type="dxa"/>
            <w:vAlign w:val="bottom"/>
          </w:tcPr>
          <w:p>
            <w:pPr>
              <w:spacing w:after="0"/>
              <w:rPr>
                <w:sz w:val="1"/>
                <w:szCs w:val="1"/>
                <w:color w:val="auto"/>
              </w:rPr>
            </w:pPr>
          </w:p>
        </w:tc>
      </w:tr>
      <w:tr>
        <w:trPr>
          <w:trHeight w:val="235"/>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41,315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43,855</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Non-cash Activity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 in 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020" w:type="dxa"/>
            <w:vAlign w:val="bottom"/>
            <w:vMerge w:val="restart"/>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2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Common Stock at</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2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80" w:type="dxa"/>
            <w:vAlign w:val="bottom"/>
          </w:tcPr>
          <w:p>
            <w:pPr>
              <w:spacing w:after="0"/>
              <w:rPr>
                <w:sz w:val="11"/>
                <w:szCs w:val="11"/>
                <w:color w:val="auto"/>
              </w:rPr>
            </w:pPr>
          </w:p>
        </w:tc>
        <w:tc>
          <w:tcPr>
            <w:tcW w:w="11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1"/>
                <w:szCs w:val="11"/>
                <w:color w:val="auto"/>
              </w:rPr>
            </w:pPr>
          </w:p>
        </w:tc>
        <w:tc>
          <w:tcPr>
            <w:tcW w:w="1020" w:type="dxa"/>
            <w:vAlign w:val="bottom"/>
          </w:tcPr>
          <w:p>
            <w:pPr>
              <w:jc w:val="center"/>
              <w:ind w:right="72"/>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4"/>
        </w:trPr>
        <w:tc>
          <w:tcPr>
            <w:tcW w:w="4040" w:type="dxa"/>
            <w:vAlign w:val="bottom"/>
            <w:gridSpan w:val="2"/>
            <w:vMerge w:val="continue"/>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20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20" w:type="dxa"/>
            <w:vAlign w:val="bottom"/>
          </w:tcPr>
          <w:p>
            <w:pPr>
              <w:spacing w:after="0"/>
              <w:rPr>
                <w:sz w:val="15"/>
                <w:szCs w:val="15"/>
                <w:color w:val="auto"/>
              </w:rPr>
            </w:pPr>
          </w:p>
        </w:tc>
        <w:tc>
          <w:tcPr>
            <w:tcW w:w="1020" w:type="dxa"/>
            <w:vAlign w:val="bottom"/>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39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at March 1, 2025</w:t>
            </w: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21,418</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7,139</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156,075</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359,976</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(35,292)</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487,898</w:t>
            </w:r>
          </w:p>
        </w:tc>
        <w:tc>
          <w:tcPr>
            <w:tcW w:w="0" w:type="dxa"/>
            <w:vAlign w:val="bottom"/>
          </w:tcPr>
          <w:p>
            <w:pPr>
              <w:spacing w:after="0"/>
              <w:rPr>
                <w:sz w:val="1"/>
                <w:szCs w:val="1"/>
                <w:color w:val="auto"/>
              </w:rPr>
            </w:pPr>
          </w:p>
        </w:tc>
      </w:tr>
      <w:tr>
        <w:trPr>
          <w:trHeight w:val="182"/>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w:t>
            </w:r>
          </w:p>
        </w:tc>
        <w:tc>
          <w:tcPr>
            <w:tcW w:w="0" w:type="dxa"/>
            <w:vAlign w:val="bottom"/>
          </w:tcPr>
          <w:p>
            <w:pPr>
              <w:spacing w:after="0"/>
              <w:rPr>
                <w:sz w:val="1"/>
                <w:szCs w:val="1"/>
                <w:color w:val="auto"/>
              </w:rPr>
            </w:pPr>
          </w:p>
        </w:tc>
      </w:tr>
      <w:tr>
        <w:trPr>
          <w:trHeight w:val="196"/>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2,608</w:t>
            </w:r>
          </w:p>
        </w:tc>
        <w:tc>
          <w:tcPr>
            <w:tcW w:w="0" w:type="dxa"/>
            <w:vAlign w:val="bottom"/>
          </w:tcPr>
          <w:p>
            <w:pPr>
              <w:spacing w:after="0"/>
              <w:rPr>
                <w:sz w:val="1"/>
                <w:szCs w:val="1"/>
                <w:color w:val="auto"/>
              </w:rPr>
            </w:pPr>
          </w:p>
        </w:tc>
      </w:tr>
      <w:tr>
        <w:trPr>
          <w:trHeight w:val="182"/>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0" w:type="dxa"/>
            <w:vAlign w:val="bottom"/>
          </w:tcPr>
          <w:p>
            <w:pPr>
              <w:spacing w:after="0"/>
              <w:rPr>
                <w:sz w:val="1"/>
                <w:szCs w:val="1"/>
                <w:color w:val="auto"/>
              </w:rPr>
            </w:pPr>
          </w:p>
        </w:tc>
      </w:tr>
      <w:tr>
        <w:trPr>
          <w:trHeight w:val="182"/>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w:t>
            </w:r>
          </w:p>
        </w:tc>
        <w:tc>
          <w:tcPr>
            <w:tcW w:w="0" w:type="dxa"/>
            <w:vAlign w:val="bottom"/>
          </w:tcPr>
          <w:p>
            <w:pPr>
              <w:spacing w:after="0"/>
              <w:rPr>
                <w:sz w:val="1"/>
                <w:szCs w:val="1"/>
                <w:color w:val="auto"/>
              </w:rPr>
            </w:pPr>
          </w:p>
        </w:tc>
      </w:tr>
      <w:tr>
        <w:trPr>
          <w:trHeight w:val="196"/>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$0.26 per share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(5,520)</w:t>
            </w:r>
          </w:p>
        </w:tc>
        <w:tc>
          <w:tcPr>
            <w:tcW w:w="0" w:type="dxa"/>
            <w:vAlign w:val="bottom"/>
          </w:tcPr>
          <w:p>
            <w:pPr>
              <w:spacing w:after="0"/>
              <w:rPr>
                <w:sz w:val="1"/>
                <w:szCs w:val="1"/>
                <w:color w:val="auto"/>
              </w:rPr>
            </w:pPr>
          </w:p>
        </w:tc>
      </w:tr>
      <w:tr>
        <w:trPr>
          <w:trHeight w:val="178"/>
        </w:trPr>
        <w:tc>
          <w:tcPr>
            <w:tcW w:w="40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at May 31, 2025</w:t>
            </w: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21,533</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7,178</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157,788</w:t>
            </w:r>
          </w:p>
        </w:tc>
        <w:tc>
          <w:tcPr>
            <w:tcW w:w="80" w:type="dxa"/>
            <w:vAlign w:val="bottom"/>
          </w:tcPr>
          <w:p>
            <w:pPr>
              <w:spacing w:after="0"/>
              <w:rPr>
                <w:sz w:val="15"/>
                <w:szCs w:val="15"/>
                <w:color w:val="auto"/>
              </w:rPr>
            </w:pP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349,501</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(32,684)</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481,783</w:t>
            </w:r>
          </w:p>
        </w:tc>
        <w:tc>
          <w:tcPr>
            <w:tcW w:w="0" w:type="dxa"/>
            <w:vAlign w:val="bottom"/>
          </w:tcPr>
          <w:p>
            <w:pPr>
              <w:spacing w:after="0"/>
              <w:rPr>
                <w:sz w:val="1"/>
                <w:szCs w:val="1"/>
                <w:color w:val="auto"/>
              </w:rPr>
            </w:pPr>
          </w:p>
        </w:tc>
      </w:tr>
      <w:tr>
        <w:trPr>
          <w:trHeight w:val="194"/>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23,649</w:t>
            </w:r>
          </w:p>
        </w:tc>
        <w:tc>
          <w:tcPr>
            <w:tcW w:w="0" w:type="dxa"/>
            <w:vAlign w:val="bottom"/>
          </w:tcPr>
          <w:p>
            <w:pPr>
              <w:spacing w:after="0"/>
              <w:rPr>
                <w:sz w:val="1"/>
                <w:szCs w:val="1"/>
                <w:color w:val="auto"/>
              </w:rPr>
            </w:pPr>
          </w:p>
        </w:tc>
      </w:tr>
      <w:tr>
        <w:trPr>
          <w:trHeight w:val="182"/>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96"/>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Cancellations of stock, net of issuance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82"/>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196"/>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8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 $0.26 per share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(5,523)</w:t>
            </w:r>
          </w:p>
        </w:tc>
        <w:tc>
          <w:tcPr>
            <w:tcW w:w="0" w:type="dxa"/>
            <w:vAlign w:val="bottom"/>
          </w:tcPr>
          <w:p>
            <w:pPr>
              <w:spacing w:after="0"/>
              <w:rPr>
                <w:sz w:val="1"/>
                <w:szCs w:val="1"/>
                <w:color w:val="auto"/>
              </w:rPr>
            </w:pPr>
          </w:p>
        </w:tc>
      </w:tr>
      <w:tr>
        <w:trPr>
          <w:trHeight w:val="189"/>
        </w:trPr>
        <w:tc>
          <w:tcPr>
            <w:tcW w:w="404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Balance at August 30, 2025</w:t>
            </w:r>
          </w:p>
        </w:tc>
        <w:tc>
          <w:tcPr>
            <w:tcW w:w="11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21,515</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7,172</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158,065</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367,578</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(32,600)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500,215</w:t>
            </w:r>
          </w:p>
        </w:tc>
        <w:tc>
          <w:tcPr>
            <w:tcW w:w="0" w:type="dxa"/>
            <w:vAlign w:val="bottom"/>
          </w:tcPr>
          <w:p>
            <w:pPr>
              <w:spacing w:after="0"/>
              <w:rPr>
                <w:sz w:val="1"/>
                <w:szCs w:val="1"/>
                <w:color w:val="auto"/>
              </w:rPr>
            </w:pPr>
          </w:p>
        </w:tc>
      </w:tr>
      <w:tr>
        <w:trPr>
          <w:trHeight w:val="182"/>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16,549</w:t>
            </w:r>
          </w:p>
        </w:tc>
        <w:tc>
          <w:tcPr>
            <w:tcW w:w="0" w:type="dxa"/>
            <w:vAlign w:val="bottom"/>
          </w:tcPr>
          <w:p>
            <w:pPr>
              <w:spacing w:after="0"/>
              <w:rPr>
                <w:sz w:val="1"/>
                <w:szCs w:val="1"/>
                <w:color w:val="auto"/>
              </w:rPr>
            </w:pPr>
          </w:p>
        </w:tc>
      </w:tr>
      <w:tr>
        <w:trPr>
          <w:trHeight w:val="196"/>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0" w:type="dxa"/>
            <w:vAlign w:val="bottom"/>
          </w:tcPr>
          <w:p>
            <w:pPr>
              <w:spacing w:after="0"/>
              <w:rPr>
                <w:sz w:val="1"/>
                <w:szCs w:val="1"/>
                <w:color w:val="auto"/>
              </w:rPr>
            </w:pPr>
          </w:p>
        </w:tc>
      </w:tr>
      <w:tr>
        <w:trPr>
          <w:trHeight w:val="182"/>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0" w:type="dxa"/>
            <w:vAlign w:val="bottom"/>
          </w:tcPr>
          <w:p>
            <w:pPr>
              <w:spacing w:after="0"/>
              <w:rPr>
                <w:sz w:val="1"/>
                <w:szCs w:val="1"/>
                <w:color w:val="auto"/>
              </w:rPr>
            </w:pPr>
          </w:p>
        </w:tc>
      </w:tr>
      <w:tr>
        <w:trPr>
          <w:trHeight w:val="196"/>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3,796</w:t>
            </w:r>
          </w:p>
        </w:tc>
        <w:tc>
          <w:tcPr>
            <w:tcW w:w="0" w:type="dxa"/>
            <w:vAlign w:val="bottom"/>
          </w:tcPr>
          <w:p>
            <w:pPr>
              <w:spacing w:after="0"/>
              <w:rPr>
                <w:sz w:val="1"/>
                <w:szCs w:val="1"/>
                <w:color w:val="auto"/>
              </w:rPr>
            </w:pPr>
          </w:p>
        </w:tc>
      </w:tr>
      <w:tr>
        <w:trPr>
          <w:trHeight w:val="182"/>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$0.26 per share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(5,524)</w:t>
            </w:r>
          </w:p>
        </w:tc>
        <w:tc>
          <w:tcPr>
            <w:tcW w:w="0" w:type="dxa"/>
            <w:vAlign w:val="bottom"/>
          </w:tcPr>
          <w:p>
            <w:pPr>
              <w:spacing w:after="0"/>
              <w:rPr>
                <w:sz w:val="1"/>
                <w:szCs w:val="1"/>
                <w:color w:val="auto"/>
              </w:rPr>
            </w:pPr>
          </w:p>
        </w:tc>
      </w:tr>
      <w:tr>
        <w:trPr>
          <w:trHeight w:val="189"/>
        </w:trPr>
        <w:tc>
          <w:tcPr>
            <w:tcW w:w="4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Balance at November 29, 2025</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21,492</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7,164</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161,031</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377,306</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(33,210)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512,291</w:t>
            </w: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1000" w:type="dxa"/>
            <w:vAlign w:val="bottom"/>
            <w:vMerge w:val="restart"/>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Common Stock at</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2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1"/>
                <w:szCs w:val="11"/>
                <w:color w:val="auto"/>
              </w:rPr>
            </w:pPr>
          </w:p>
        </w:tc>
        <w:tc>
          <w:tcPr>
            <w:tcW w:w="1000" w:type="dxa"/>
            <w:vAlign w:val="bottom"/>
          </w:tcPr>
          <w:p>
            <w:pPr>
              <w:jc w:val="center"/>
              <w:ind w:right="52"/>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4"/>
        </w:trPr>
        <w:tc>
          <w:tcPr>
            <w:tcW w:w="4060" w:type="dxa"/>
            <w:vAlign w:val="bottom"/>
            <w:gridSpan w:val="2"/>
            <w:vMerge w:val="continue"/>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22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40" w:type="dxa"/>
            <w:vAlign w:val="bottom"/>
          </w:tcPr>
          <w:p>
            <w:pPr>
              <w:spacing w:after="0"/>
              <w:rPr>
                <w:sz w:val="15"/>
                <w:szCs w:val="15"/>
                <w:color w:val="auto"/>
              </w:rPr>
            </w:pPr>
          </w:p>
        </w:tc>
        <w:tc>
          <w:tcPr>
            <w:tcW w:w="1000" w:type="dxa"/>
            <w:vAlign w:val="bottom"/>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398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Balance at March 2, 2024</w:t>
            </w: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22,089</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7,363</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152,818</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340,375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(29,531)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471,025</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31,011</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(15,061)</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(4,836)</w:t>
            </w:r>
          </w:p>
        </w:tc>
        <w:tc>
          <w:tcPr>
            <w:tcW w:w="0" w:type="dxa"/>
            <w:vAlign w:val="bottom"/>
          </w:tcPr>
          <w:p>
            <w:pPr>
              <w:spacing w:after="0"/>
              <w:rPr>
                <w:sz w:val="1"/>
                <w:szCs w:val="1"/>
                <w:color w:val="auto"/>
              </w:rPr>
            </w:pPr>
          </w:p>
        </w:tc>
      </w:tr>
      <w:tr>
        <w:trPr>
          <w:trHeight w:val="18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Declared dividends, $0.25 per share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(5,409)</w:t>
            </w:r>
          </w:p>
        </w:tc>
        <w:tc>
          <w:tcPr>
            <w:tcW w:w="0" w:type="dxa"/>
            <w:vAlign w:val="bottom"/>
          </w:tcPr>
          <w:p>
            <w:pPr>
              <w:spacing w:after="0"/>
              <w:rPr>
                <w:sz w:val="1"/>
                <w:szCs w:val="1"/>
                <w:color w:val="auto"/>
              </w:rPr>
            </w:pPr>
          </w:p>
        </w:tc>
      </w:tr>
      <w:tr>
        <w:trPr>
          <w:trHeight w:val="189"/>
        </w:trPr>
        <w:tc>
          <w:tcPr>
            <w:tcW w:w="406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Balance at June 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21,937</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7,312</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153,002</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348,651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(29,010)</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479,955</w:t>
            </w:r>
          </w:p>
        </w:tc>
        <w:tc>
          <w:tcPr>
            <w:tcW w:w="0" w:type="dxa"/>
            <w:vAlign w:val="bottom"/>
          </w:tcPr>
          <w:p>
            <w:pPr>
              <w:spacing w:after="0"/>
              <w:rPr>
                <w:sz w:val="1"/>
                <w:szCs w:val="1"/>
                <w:color w:val="auto"/>
              </w:rPr>
            </w:pPr>
          </w:p>
        </w:tc>
      </w:tr>
      <w:tr>
        <w:trPr>
          <w:trHeight w:val="184"/>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30,566</w:t>
            </w:r>
          </w:p>
        </w:tc>
        <w:tc>
          <w:tcPr>
            <w:tcW w:w="0" w:type="dxa"/>
            <w:vAlign w:val="bottom"/>
          </w:tcPr>
          <w:p>
            <w:pPr>
              <w:spacing w:after="0"/>
              <w:rPr>
                <w:sz w:val="1"/>
                <w:szCs w:val="1"/>
                <w:color w:val="auto"/>
              </w:rPr>
            </w:pPr>
          </w:p>
        </w:tc>
      </w:tr>
      <w:tr>
        <w:trPr>
          <w:trHeight w:val="194"/>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18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 $0.25 per share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(5,412)</w:t>
            </w:r>
          </w:p>
        </w:tc>
        <w:tc>
          <w:tcPr>
            <w:tcW w:w="0" w:type="dxa"/>
            <w:vAlign w:val="bottom"/>
          </w:tcPr>
          <w:p>
            <w:pPr>
              <w:spacing w:after="0"/>
              <w:rPr>
                <w:sz w:val="1"/>
                <w:szCs w:val="1"/>
                <w:color w:val="auto"/>
              </w:rPr>
            </w:pPr>
          </w:p>
        </w:tc>
      </w:tr>
      <w:tr>
        <w:trPr>
          <w:trHeight w:val="189"/>
        </w:trPr>
        <w:tc>
          <w:tcPr>
            <w:tcW w:w="406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Balance at August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21,946</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7,315</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155,883</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373,458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(30,234)</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506,422</w:t>
            </w:r>
          </w:p>
        </w:tc>
        <w:tc>
          <w:tcPr>
            <w:tcW w:w="0" w:type="dxa"/>
            <w:vAlign w:val="bottom"/>
          </w:tcPr>
          <w:p>
            <w:pPr>
              <w:spacing w:after="0"/>
              <w:rPr>
                <w:sz w:val="1"/>
                <w:szCs w:val="1"/>
                <w:color w:val="auto"/>
              </w:rPr>
            </w:pPr>
          </w:p>
        </w:tc>
      </w:tr>
      <w:tr>
        <w:trPr>
          <w:trHeight w:val="184"/>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20,989</w:t>
            </w:r>
          </w:p>
        </w:tc>
        <w:tc>
          <w:tcPr>
            <w:tcW w:w="0" w:type="dxa"/>
            <w:vAlign w:val="bottom"/>
          </w:tcPr>
          <w:p>
            <w:pPr>
              <w:spacing w:after="0"/>
              <w:rPr>
                <w:sz w:val="1"/>
                <w:szCs w:val="1"/>
                <w:color w:val="auto"/>
              </w:rPr>
            </w:pPr>
          </w:p>
        </w:tc>
      </w:tr>
      <w:tr>
        <w:trPr>
          <w:trHeight w:val="194"/>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$0.25 per share</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(5,417)</w:t>
            </w:r>
          </w:p>
        </w:tc>
        <w:tc>
          <w:tcPr>
            <w:tcW w:w="0" w:type="dxa"/>
            <w:vAlign w:val="bottom"/>
          </w:tcPr>
          <w:p>
            <w:pPr>
              <w:spacing w:after="0"/>
              <w:rPr>
                <w:sz w:val="1"/>
                <w:szCs w:val="1"/>
                <w:color w:val="auto"/>
              </w:rPr>
            </w:pPr>
          </w:p>
        </w:tc>
      </w:tr>
      <w:tr>
        <w:trPr>
          <w:trHeight w:val="189"/>
        </w:trPr>
        <w:tc>
          <w:tcPr>
            <w:tcW w:w="4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Balance at November 30, 2024</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21,939</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7,313</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158,248</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388,478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(31,970)</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522,069</w:t>
            </w: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13"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Apogee Enterprises, Inc. (we, us, our or the Company) have been prepared in accordance with accounting principles generally accepted in the United States (U.S. GAAP). The information included in this Form 10-Q should be read in conjunction with the Company’s Form 10-K for the year ended March 1, 2025. We use the same accounting policies in preparing quarterly and annual financial statements. All adjustments necessary for a fair presentation of quarterly and year to date operating results are reflected herein. The results of operations for the three and nine month periods ended November 29, 2025, are not necessarily indicative of the results to be expected for the full year.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27, 2023, the Financial Accounting Standards Board (FASB) issued Accounting Standard Update (ASU) 2023-07, Improvements to Reportable Segment Disclosures, which expands the required disclosure for reportable segments. This guidance requires entities to disclose significant segment expenses and other segment items on an annual and interim basis and to provide in interim periods all segment disclosures which are currently required annually. This ASU additionally requires entities to disclose the title and position of the individual or the name of the group or committee identified as its chief operating decision-maker. We adopted this guidance in the fourth quarter of fiscal 2025 for the annual requirements and in the first quarter of fiscal 2026 for the interim requirements.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14, 2023, the FASB issued ASU 2023-09, Improvements to Income Tax Disclosures. The ASU is effective for our fiscal 2026 annual financial statements and for our interim financial statements beginning fiscal 2027. This guidance expands the existing disclosure requirements for the annual rate reconciliation between the effective tax rate and the statutory federal tax rate by requiring reconciliation items to be disaggregated by defined categories and disclosed as both percentages and amounts. ASU 2023-09 also requires the disaggregation of income taxes paid by jurisdiction for each annual period presented.</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This guidance requires entities to disclose more detailed information about the types of expenses, including purchases of inventory, employee compensation, depreciation, amortization, and depletion in commonly presented expense captions such as cost of sales and selling, general and administrative (SG&amp;A) expenses. Such guidance is effective for annual reporting periods beginning after December 15, 2026, and interim reporting periods beginning after December 15, 2027, although early adoption is permitted. This guidance should be applied either prospectively to financial statements issued for reporting periods after the effective date of this ASU or retrospectively to any or all prior periods presented in the financial statements. While the adoption of this ASU will not have an impact on our financial position and/or results of operations, we are currently evaluating the impact this ASU may have on our consolidated financial statement disclosures, including the processes and controls around the collection of this information.</w:t>
      </w:r>
    </w:p>
    <w:p>
      <w:pPr>
        <w:spacing w:after="0" w:line="200" w:lineRule="exact"/>
        <w:rPr>
          <w:sz w:val="20"/>
          <w:szCs w:val="20"/>
          <w:color w:val="auto"/>
        </w:rPr>
      </w:pPr>
    </w:p>
    <w:p>
      <w:pPr>
        <w:spacing w:after="0" w:line="231"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Receivables and Contract Assets and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total revenue by timing of recognition (see Note 12 for disclosure of revenue by segment):</w:t>
      </w:r>
    </w:p>
    <w:p>
      <w:pPr>
        <w:sectPr>
          <w:pgSz w:w="11900" w:h="16838" w:orient="portrait"/>
          <w:cols w:equalWidth="0" w:num="1">
            <w:col w:w="11240"/>
          </w:cols>
          <w:pgMar w:left="320" w:top="229" w:right="339" w:bottom="1440" w:gutter="0" w:footer="0" w:header="0"/>
        </w:sectPr>
      </w:pPr>
    </w:p>
    <w:p>
      <w:pPr>
        <w:spacing w:after="0" w:line="3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Recognized at shipment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Recognized over time (input method)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Recognized over time (output method)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32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080" w:type="dxa"/>
            <w:vAlign w:val="bottom"/>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90"/>
        </w:trPr>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29, 2025</w:t>
            </w: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29, 2025</w:t>
            </w: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November 30, 2024</w:t>
            </w:r>
          </w:p>
        </w:tc>
      </w:tr>
      <w:tr>
        <w:trPr>
          <w:trHeight w:val="224"/>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163,008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150,704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492,845</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427,945</w:t>
            </w:r>
          </w:p>
        </w:tc>
      </w:tr>
      <w:tr>
        <w:trPr>
          <w:trHeight w:val="230"/>
        </w:trPr>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360,815</w:t>
            </w:r>
          </w:p>
        </w:tc>
      </w:tr>
      <w:tr>
        <w:trPr>
          <w:trHeight w:val="234"/>
        </w:trPr>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65,189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203,607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226,540</w:t>
            </w:r>
          </w:p>
        </w:tc>
      </w:tr>
      <w:tr>
        <w:trPr>
          <w:trHeight w:val="223"/>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348,563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341,344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1,053,379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1,015,300</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-333375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-633730</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3940" w:space="720"/>
            <w:col w:w="658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Revenue at shipment is recognized at the time products are shipped from our manufacturing facilities, which is when control is transferred to our customer.</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also recognize revenue over time using both the input method and output method. The contracts for the businesses that recognize revenue following an over-time input method have a single, bundled performance obligation, as these businesses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generally provide interrelated products and services and integrate these products and services into a combined output specified by the customer. The customer obtains control of this combined output, generally integrated window systems or installed window and curtainwall systems, over time. We measure progress on these contracts by comparing total costs incurred to-date to the total estimated costs for the contract at completion, and record that proportion of the total contract price as revenue in the period. Contract costs include materials, labor and other direct costs related to contract performance. We believe this method of recognizing revenue is consistent with our progress in satisfying our contract obligations.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revenue recognized following an over-time output method, the customer is considered to have control over the products at the time of production, as the products are highly customized with no alternative use, and we have an enforceable right to payment for performance completed over the production period. We believe this over-time output method of recognizing revenue reasonably depicts the fulfillment of our performance obligations under our contracts.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Receivables reflected in the financial statements represent the net amount expected to be collected. An allowance for credit losses is established based on expected losses. Expected losses are estimated by reviewing individual accounts, considering aging, financial condition of the debtor, recent payment history, current and forecasted economic conditions and other relevant factors. Upon billing, aging of receivables is monitored until collection. An account is considered current when it is within agreed upon payment terms. An account is written off when it is determined that the asset is no longer collectible.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29, 2025</w:t>
            </w:r>
          </w:p>
        </w:tc>
        <w:tc>
          <w:tcPr>
            <w:tcW w:w="160" w:type="dxa"/>
            <w:vAlign w:val="bottom"/>
          </w:tcPr>
          <w:p>
            <w:pPr>
              <w:spacing w:after="0"/>
              <w:rPr>
                <w:sz w:val="18"/>
                <w:szCs w:val="18"/>
                <w:color w:val="auto"/>
              </w:rPr>
            </w:pP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March 1, 2025</w:t>
            </w:r>
          </w:p>
        </w:tc>
      </w:tr>
      <w:tr>
        <w:trPr>
          <w:trHeight w:val="229"/>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117,533</w:t>
            </w:r>
          </w:p>
        </w:tc>
      </w:tr>
      <w:tr>
        <w:trPr>
          <w:trHeight w:val="229"/>
        </w:trPr>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contracts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70,724</w:t>
            </w:r>
          </w:p>
        </w:tc>
      </w:tr>
      <w:tr>
        <w:trPr>
          <w:trHeight w:val="223"/>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188,257</w:t>
            </w:r>
          </w:p>
        </w:tc>
      </w:tr>
      <w:tr>
        <w:trPr>
          <w:trHeight w:val="229"/>
        </w:trPr>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w:t>
            </w: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185,590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9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 for the nine months ended November 29, 2025:</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1"/>
        </w:trPr>
        <w:tc>
          <w:tcPr>
            <w:tcW w:w="7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November 29, 2025</w:t>
            </w:r>
          </w:p>
        </w:tc>
      </w:tr>
      <w:tr>
        <w:trPr>
          <w:trHeight w:val="230"/>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Credits against costs and expenses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30"/>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allowance, net of recoveries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1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assets consist of retainage, costs and earnings in excess of billings and other unbilled amounts typically generated when revenue recognized exceeds the amount billed to the customer. Retainage on construction contracts represents amounts withheld by our customers on long-term projects until the project reaches a level of completion where amounts are released to us from the customer. Contract liabilities consist of billings in excess of costs and earnings and other deferred revenue on contracts.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time period between when performance obligations are complete and payment is due is not significant. In certain parts of our business that recognize revenue over time, progress billings follow an agreed-upon schedule of values.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29, 2025</w:t>
            </w:r>
          </w:p>
        </w:tc>
        <w:tc>
          <w:tcPr>
            <w:tcW w:w="220" w:type="dxa"/>
            <w:vAlign w:val="bottom"/>
          </w:tcPr>
          <w:p>
            <w:pPr>
              <w:spacing w:after="0"/>
              <w:rPr>
                <w:sz w:val="18"/>
                <w:szCs w:val="18"/>
                <w:color w:val="auto"/>
              </w:rPr>
            </w:pPr>
          </w:p>
        </w:tc>
        <w:tc>
          <w:tcPr>
            <w:tcW w:w="13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March 1, 2025</w:t>
            </w:r>
          </w:p>
        </w:tc>
      </w:tr>
      <w:tr>
        <w:trPr>
          <w:trHeight w:val="229"/>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71,842</w:t>
            </w:r>
          </w:p>
        </w:tc>
      </w:tr>
      <w:tr>
        <w:trPr>
          <w:trHeight w:val="234"/>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35,193</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contract assets and contract liabilities were mainly due to timing of project activity within our businesses that operate under long-term contracts.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contract-related disclosures</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41" w:lineRule="exact"/>
        <w:rPr>
          <w:sz w:val="20"/>
          <w:szCs w:val="20"/>
          <w:color w:val="auto"/>
        </w:rPr>
      </w:pPr>
    </w:p>
    <w:p>
      <w:pPr>
        <w:ind w:left="180" w:hanging="161"/>
        <w:spacing w:after="0" w:line="237" w:lineRule="auto"/>
        <w:rPr>
          <w:sz w:val="20"/>
          <w:szCs w:val="20"/>
          <w:color w:val="auto"/>
        </w:rPr>
      </w:pPr>
      <w:r>
        <w:rPr>
          <w:rFonts w:ascii="Times New Roman" w:cs="Times New Roman" w:eastAsia="Times New Roman" w:hAnsi="Times New Roman"/>
          <w:sz w:val="18"/>
          <w:szCs w:val="18"/>
          <w:color w:val="auto"/>
        </w:rPr>
        <w:t>Revenue recognized related to contract liabilities from prior year-end</w:t>
      </w:r>
    </w:p>
    <w:p>
      <w:pPr>
        <w:spacing w:after="0" w:line="10" w:lineRule="exact"/>
        <w:rPr>
          <w:sz w:val="20"/>
          <w:szCs w:val="20"/>
          <w:color w:val="auto"/>
        </w:rPr>
      </w:pPr>
    </w:p>
    <w:p>
      <w:pPr>
        <w:ind w:left="180" w:right="680" w:hanging="161"/>
        <w:spacing w:after="0" w:line="237" w:lineRule="auto"/>
        <w:rPr>
          <w:sz w:val="20"/>
          <w:szCs w:val="20"/>
          <w:color w:val="auto"/>
        </w:rPr>
      </w:pPr>
      <w:r>
        <w:rPr>
          <w:rFonts w:ascii="Times New Roman" w:cs="Times New Roman" w:eastAsia="Times New Roman" w:hAnsi="Times New Roman"/>
          <w:sz w:val="18"/>
          <w:szCs w:val="18"/>
          <w:color w:val="auto"/>
        </w:rPr>
        <w:t>Revenue recognized related to prior satisfaction of performance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32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080" w:type="dxa"/>
            <w:vAlign w:val="bottom"/>
            <w:gridSpan w:val="4"/>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90"/>
        </w:trPr>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29, 2025</w:t>
            </w: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29, 2025</w:t>
            </w: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November 30, 2024</w:t>
            </w:r>
          </w:p>
        </w:tc>
      </w:tr>
      <w:tr>
        <w:trPr>
          <w:trHeight w:val="418"/>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29,029</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30,760</w:t>
            </w:r>
          </w:p>
        </w:tc>
      </w:tr>
      <w:tr>
        <w:trPr>
          <w:trHeight w:val="418"/>
        </w:trPr>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-539750</wp:posOffset>
            </wp:positionV>
            <wp:extent cx="71323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4340" w:space="320"/>
            <w:col w:w="6580"/>
          </w:cols>
          <w:pgMar w:left="320" w:top="229" w:right="339" w:bottom="1440" w:gutter="0" w:footer="0" w:header="0"/>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contracts have an expected duration of longer than a year, with performance obligations extending over that time frame. Generally, these contracts are found in our businesses that typically operate with long-term contracts, which recognize revenue over time. The transaction prices associated with unsatisfied performance obligations at November 29, 2025, are expected to be satisfied, and the corresponding revenue to be recognized, over the following estimated time periods: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60" w:type="dxa"/>
            <w:vAlign w:val="bottom"/>
          </w:tcPr>
          <w:p>
            <w:pPr>
              <w:spacing w:after="0"/>
              <w:rPr>
                <w:sz w:val="18"/>
                <w:szCs w:val="18"/>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November 29, 2025</w:t>
            </w:r>
          </w:p>
        </w:tc>
      </w:tr>
      <w:tr>
        <w:trPr>
          <w:trHeight w:val="229"/>
        </w:trPr>
        <w:tc>
          <w:tcPr>
            <w:tcW w:w="9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one year</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530,201</w:t>
            </w:r>
          </w:p>
        </w:tc>
      </w:tr>
      <w:tr>
        <w:trPr>
          <w:trHeight w:val="229"/>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Between one and two years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283,130</w:t>
            </w:r>
          </w:p>
        </w:tc>
      </w:tr>
      <w:tr>
        <w:trPr>
          <w:trHeight w:val="230"/>
        </w:trPr>
        <w:tc>
          <w:tcPr>
            <w:tcW w:w="9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Beyond two years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79,485</w:t>
            </w:r>
          </w:p>
        </w:tc>
      </w:tr>
      <w:tr>
        <w:trPr>
          <w:trHeight w:val="223"/>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892,816</w:t>
            </w:r>
          </w:p>
        </w:tc>
      </w:tr>
      <w:tr>
        <w:trPr>
          <w:trHeight w:val="21"/>
        </w:trPr>
        <w:tc>
          <w:tcPr>
            <w:tcW w:w="9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nature of the work required under these long-term contracts, the estimation of total revenue and costs of sales is subject to many variables and requires significant judgment. We estimate variable consideration at the most likely amount to which we expect to be entitled. Our final cost of sales estimates are based largely on our assessments of anticipated performance and all information (historical, current and forecasted) that is reasonably available to us. Changes in estimated revenue, cost of sales and the related effect on operating income are recognized using a cumulative catch-up adjustment, which recognizes in the current period the cumulative effect of the changes on current and prior periods based on a long-term contracts percentage of completion. When the current estimates of total revenues and costs at completion for a long-term contract indicate a loss, a provision for the entire loss on the long-term contract is recognized.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cumulative catch-up adjustments on our longer-term contracts for changes in estimates had the following effect on the respective periods shown: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gridSpan w:val="6"/>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74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earnings per share data)</w:t>
            </w:r>
          </w:p>
        </w:tc>
        <w:tc>
          <w:tcPr>
            <w:tcW w:w="160" w:type="dxa"/>
            <w:vAlign w:val="bottom"/>
          </w:tcPr>
          <w:p>
            <w:pPr>
              <w:spacing w:after="0"/>
              <w:rPr>
                <w:sz w:val="21"/>
                <w:szCs w:val="21"/>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29, 2025</w:t>
            </w:r>
          </w:p>
        </w:tc>
        <w:tc>
          <w:tcPr>
            <w:tcW w:w="14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November 29, 2025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November 30, 2024</w:t>
            </w:r>
          </w:p>
        </w:tc>
      </w:tr>
      <w:tr>
        <w:trPr>
          <w:trHeight w:val="230"/>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5,801</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12,905</w:t>
            </w: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4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r>
      <w:tr>
        <w:trPr>
          <w:trHeight w:val="234"/>
        </w:trPr>
        <w:tc>
          <w:tcPr>
            <w:tcW w:w="4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765"/>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14"/>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November 29, 2025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March 1, 2025</w:t>
            </w:r>
          </w:p>
        </w:tc>
      </w:tr>
      <w:tr>
        <w:trPr>
          <w:trHeight w:val="23"/>
        </w:trPr>
        <w:tc>
          <w:tcPr>
            <w:tcW w:w="47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36,804</w:t>
            </w: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15,554</w:t>
            </w:r>
          </w:p>
        </w:tc>
      </w:tr>
      <w:tr>
        <w:trPr>
          <w:trHeight w:val="230"/>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39,947</w:t>
            </w:r>
          </w:p>
        </w:tc>
      </w:tr>
      <w:tr>
        <w:trPr>
          <w:trHeight w:val="22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inventories, net</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102,495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92,305</w:t>
            </w:r>
          </w:p>
        </w:tc>
      </w:tr>
      <w:tr>
        <w:trPr>
          <w:trHeight w:val="20"/>
        </w:trPr>
        <w:tc>
          <w:tcPr>
            <w:tcW w:w="4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our wholly-owned insurance subsidiary, Prism Assurance, Ltd. (Prism), we hold the following available-for-sale marketable securities, made up of fixed-maturity investments: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8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3"/>
                <w:szCs w:val="13"/>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8"/>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29, 2025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9,101</w:t>
            </w:r>
          </w:p>
        </w:tc>
        <w:tc>
          <w:tcPr>
            <w:tcW w:w="0" w:type="dxa"/>
            <w:vAlign w:val="bottom"/>
          </w:tcPr>
          <w:p>
            <w:pPr>
              <w:spacing w:after="0"/>
              <w:rPr>
                <w:sz w:val="1"/>
                <w:szCs w:val="1"/>
                <w:color w:val="auto"/>
              </w:rPr>
            </w:pPr>
          </w:p>
        </w:tc>
      </w:tr>
      <w:tr>
        <w:trPr>
          <w:trHeight w:val="234"/>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 2025</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10,148</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Prism insures a portion of our general liability, workers’ compensation and automobile liability risks using third-party agreements to meet statutory requirements. Our third-party carriers require Prism to maintain fixed-maturity investments for the purpose of providing collateral for Prism’s obligations under these agreements.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amortized cost and estimated fair values of these investments at November 29, 2025, by contractual maturity, are shown below. Expected maturities may differ from contractual maturities, as borrowers may have the right to call or prepay obligations with or without penalty. Investments that are due within one year are included in other current assets while those due after one year are included as other non-current assets. Gross realized gains and losses were insignificant for all periods presented.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6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8"/>
                <w:szCs w:val="18"/>
                <w:color w:val="auto"/>
              </w:rPr>
            </w:pPr>
          </w:p>
        </w:tc>
        <w:tc>
          <w:tcPr>
            <w:tcW w:w="16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29"/>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w:t>
            </w:r>
          </w:p>
        </w:tc>
      </w:tr>
      <w:tr>
        <w:trPr>
          <w:trHeight w:val="229"/>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r>
      <w:tr>
        <w:trPr>
          <w:trHeight w:val="24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9,101</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periodically use interest rate swaps, currency put options, forward purchase contracts, or other instruments to manage risks generally associated with foreign exchange rate (primarily related to the Canadian dollar and euro), interest rate and commodity price fluctuations. The information that follows explains the various types of derivatives and financial instruments we use, how such instruments are accounted for, and how such instruments impact our financial position and performance.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second quarter of fiscal 2026, we entered into an interest rate swap with a notional value of $50.0 million with an expiration date of August 5, 2027. In fiscal 2025, we entered into an interest rate swap with a notional value of $75.0 million with an expiration date of January 5, 2027. In fiscal 2020, we entered into an interest rate swap with a notional value of $30.0 million with an expiration date of February 5, 2026. We entered into these swaps to hedge a portion of our exposure to variability in cash flows from interest payments on our floating-rate credit facility.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29, 2025, we had no foreign exchange option contracts with U.S. dollar notional values outstanding.</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Derivative instruments that qualify for hedge accounting are recorded within our consolidated balance sheets within other current assets and other current liabilities. Gains or losses associated with these instruments are recorded as a component of accumulated other comprehensive loss until which time the hedged transaction is settled and gains or losses are reclassified to earnings.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financial assets or liabilities.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basis were: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0" w:type="dxa"/>
            <w:vAlign w:val="bottom"/>
          </w:tcPr>
          <w:p>
            <w:pPr>
              <w:spacing w:after="0"/>
              <w:rPr>
                <w:sz w:val="13"/>
                <w:szCs w:val="13"/>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 Observable</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60" w:type="dxa"/>
            <w:vAlign w:val="bottom"/>
          </w:tcPr>
          <w:p>
            <w:pPr>
              <w:spacing w:after="0"/>
              <w:rPr>
                <w:sz w:val="12"/>
                <w:szCs w:val="12"/>
                <w:color w:val="auto"/>
              </w:rPr>
            </w:pPr>
          </w:p>
        </w:tc>
        <w:tc>
          <w:tcPr>
            <w:tcW w:w="15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2"/>
                <w:szCs w:val="12"/>
                <w:color w:val="auto"/>
              </w:rPr>
            </w:pPr>
          </w:p>
        </w:tc>
        <w:tc>
          <w:tcPr>
            <w:tcW w:w="136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20" w:type="dxa"/>
            <w:vAlign w:val="bottom"/>
          </w:tcPr>
          <w:p>
            <w:pPr>
              <w:spacing w:after="0"/>
              <w:rPr>
                <w:sz w:val="17"/>
                <w:szCs w:val="17"/>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29, 2025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30,493</w:t>
            </w: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Municipal bonds</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9,101</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1, 2025</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20,758</w:t>
            </w: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Municipal bonds</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9,959</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option contract</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19, 2024, we entered into a Credit Agreement (the Credit Agreement) with Bank of America, N.A., as administrative agent, and other lenders. The Credit Agreement provides for an unsecured senior credit facility in an aggregate principal amount of up to $700.0 million, in which commitments were made through a $450.0 million, five-year revolving credit facility and a committed $250.0 million delayed draw term loan facility. Borrowings under the revolving credit facility can be in Canadian dollars (CAD) limited to $25.0 million USD. The term loan facility may be utilized in up to two draw downs, which are available to be made within one year after the closing date. The senior credit facility has a term of five years with a maturity date of July 19, 2029.</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Agreement replaced the previous revolving credit facility with Wells Fargo Bank, N.A., as administrative agent, and other lenders, with maximum borrowings up to $385.0 million, and the two Canadian credit facilities with Bank of Montreal totaling $25.0 million USD.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execution of the Credit Agreement, in the second quarter of fiscal 2025, we recognized a loss on extinguishment of debt within interest expense of $0.5 million for the write-off of unamortized financing fees related to the previous revolving credit facility. Additionally, we capitalized $3.0 million of lender fees and $0.8 million of third-party fees incurred in connection with the Credit Agreement, which were recorded as other non-current assets and are being amortized over the term of the credit facility as interest expense.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contains two maintenance financial covenants that require our Consolidated Leverage Ratio (as defined in the Credit Agreement) to be less than 3.50 and our Consolidated Interest Coverage Ratio (as defined in the Credit Agreement) to exceed 3.00. At November 29, 2025, we were in compliance with all covenants as defined under the terms of the Credit Agreement.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an acquisition “holiday”. In the event we make an acquisition for which the purchase price is greater than $75.0 million, we can elect to increase the maximum Consolidated Leverage Ratio (as defined in the Credit Agreement) to 4.00 for a period of four consecutive fiscal quarters, commencing with the fiscal quarter in which a qualifying acquisition occurs. No more than two acquisition holidays can occur during the term of the Credit Agreement, and at least two fiscal quarters must separate qualifying acquisitions.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Credit Agreement bear floating interest at either the Base Rate or Term Secured Overnight Financing Rate (SOFR), or, for CAD borrowings, Canadian Overnight Repo Rate Average (CORRA) plus, in each a margin based on the Consolidated Leverage Ratio (as defined in the Credit Agreement). For Base Rate borrowings, the margin ranges from 0.25% to 0.75%. For Term SOFR and CORRA borrowings, the margin ranges from 1.25% to 1.75%, with an incremental Term SOFR and CORRA adjustment of 0.10% and 0.29547%, respectively.</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Credit Agreement also contains an “accordion” provision. Under this provision, we can request that the senior credit facility be increased by unlimited additional amounts. Any lender may elect or decline to participate in the requested increase at their sole discretion.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4, 2024, as part of the acquisition of UW Interco, LLC (UW Solutions), and for working capital and general corporate purposes, we executed a drawdown against the delayed draw term loan facility for $250.0 million. Outstanding borrowings under the term loan facility were $215.0 million as of November 29, 2025. Outstanding borrowings under the revolving credit facility were $40.0 million as of November 29, 2025.</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November 29, 2025, we had a total of $2.6 million of ongoing letters of credit related to the senior credit facility, construction contracts and insurance collateral that expire in fiscal 2027 and reduce borrowing capacity under the revolving credit facility. As of November 29, 2025, the amount available for revolving borrowings was $407.4 million.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our senior credit facility approximated carrying value at November 29, 2025, and would be classified as Level 2 within the fair value hierarchy described in Note 4, due to the variable interest rates on these instruments.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00" w:type="dxa"/>
            <w:vAlign w:val="bottom"/>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gridSpan w:val="2"/>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29, 2025</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29, 2025</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0" w:type="dxa"/>
            <w:vAlign w:val="bottom"/>
          </w:tcPr>
          <w:p>
            <w:pPr>
              <w:spacing w:after="0"/>
              <w:rPr>
                <w:sz w:val="1"/>
                <w:szCs w:val="1"/>
                <w:color w:val="auto"/>
              </w:rPr>
            </w:pPr>
          </w:p>
        </w:tc>
      </w:tr>
      <w:tr>
        <w:trPr>
          <w:trHeight w:val="229"/>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gain</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 expense</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payments under the credit facilities were $13.2 million and $3.5 million for the nine months ended November 29, 2025 and November 30, 2024, respectively. The weighted average interest rates on borrowings outstanding, inclusive of the impact of our interest rate swaps as of November 29, 2025, and March 1, 2025, were 3.16% and 4.32%, respectively.</w:t>
      </w:r>
    </w:p>
    <w:p>
      <w:pPr>
        <w:spacing w:after="0" w:line="200" w:lineRule="exact"/>
        <w:rPr>
          <w:sz w:val="20"/>
          <w:szCs w:val="20"/>
          <w:color w:val="auto"/>
        </w:rPr>
      </w:pPr>
    </w:p>
    <w:p>
      <w:pPr>
        <w:spacing w:after="0" w:line="21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Bond commitments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predominantly in our Architectural Services Segment, we are required to provide surety or performance bonds that commit payments to our customers for non-performance against our contracts. At November 29, 2025, $1.2 billion of these types of bonds were outstanding, of which $253.0 million is in our backlog. These bonds have expiration dates that align with the completion of these contracts. We have never been required to make payments under surety or performance bonds with respect to our existing businesses.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and project-related contingencies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reserve estimated exposures on known claims, as well as on a portion of anticipated claims, for product warranty and rework cost, based on historical product liability claims as a ratio of sales. Claim costs are deducted from the accrual when paid. Factors that could have an impact on these accruals in any given period include changes in manufacturing quality, changes in product mix, and any significant changes in sales volume.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9"/>
        </w:trPr>
        <w:tc>
          <w:tcPr>
            <w:tcW w:w="95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60" w:type="dxa"/>
            <w:vAlign w:val="bottom"/>
          </w:tcPr>
          <w:p>
            <w:pPr>
              <w:spacing w:after="0"/>
              <w:rPr>
                <w:sz w:val="19"/>
                <w:szCs w:val="19"/>
                <w:color w:val="auto"/>
              </w:rPr>
            </w:pPr>
          </w:p>
        </w:tc>
        <w:tc>
          <w:tcPr>
            <w:tcW w:w="1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29, 2025</w:t>
            </w:r>
          </w:p>
        </w:tc>
      </w:tr>
      <w:tr>
        <w:trPr>
          <w:trHeight w:val="230"/>
        </w:trPr>
        <w:tc>
          <w:tcPr>
            <w:tcW w:w="9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18,461</w:t>
            </w:r>
          </w:p>
        </w:tc>
      </w:tr>
      <w:tr>
        <w:trPr>
          <w:trHeight w:val="230"/>
        </w:trPr>
        <w:tc>
          <w:tcPr>
            <w:tcW w:w="9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Credits against costs and expenses</w:t>
            </w:r>
          </w:p>
        </w:tc>
        <w:tc>
          <w:tcPr>
            <w:tcW w:w="160" w:type="dxa"/>
            <w:vAlign w:val="bottom"/>
          </w:tcPr>
          <w:p>
            <w:pPr>
              <w:spacing w:after="0"/>
              <w:rPr>
                <w:sz w:val="19"/>
                <w:szCs w:val="19"/>
                <w:color w:val="auto"/>
              </w:rPr>
            </w:pPr>
          </w:p>
        </w:tc>
        <w:tc>
          <w:tcPr>
            <w:tcW w:w="15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(1,044)</w:t>
            </w:r>
          </w:p>
        </w:tc>
      </w:tr>
      <w:tr>
        <w:trPr>
          <w:trHeight w:val="230"/>
        </w:trPr>
        <w:tc>
          <w:tcPr>
            <w:tcW w:w="9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paid</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(3,504)</w:t>
            </w:r>
          </w:p>
        </w:tc>
      </w:tr>
      <w:tr>
        <w:trPr>
          <w:trHeight w:val="223"/>
        </w:trPr>
        <w:tc>
          <w:tcPr>
            <w:tcW w:w="9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13,913</w:t>
            </w:r>
          </w:p>
        </w:tc>
      </w:tr>
      <w:tr>
        <w:trPr>
          <w:trHeight w:val="20"/>
        </w:trPr>
        <w:tc>
          <w:tcPr>
            <w:tcW w:w="9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we are subject to project management and installation-related contingencies as a result of our fixed-price material supply and installation service contracts, primarily in our Architectural Services Segment and in certain parts of our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Architectural Metals Segment. We manage the risk of these exposures through contract negotiations, proactive project management and insurance coverages.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November 29, 2025, we had $2.6 million of ongoing letters of credit as discussed in Note 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obligations for raw material commitments and capital expenditures totaled $16.4 million as of November 29,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Markets Tax Credit (NMTC) transactions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second quarter ended August 30, 2025, one NMTC transaction was settled and, as a result, a $4.6 million benefit was recorded in other (income) expense, net. During the third quarter ended November 29, 2025, the final remaining NMTC transaction was settled and, as a result, a $2.1 million benefit was recorded in other (income) expense, net.</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these transactions were initiated, the proceeds received from investors were included within other current liabilities in our consolidated balance sheets. The NMTC arrangements were subject to 100 percent tax credit recapture for a period of seven years from the date of transaction. Upon the termination, proceeds were recognized in earnings in exchange for the transfer of tax credits. The direct and incremental costs incurred in structuring this arrangement were deferred and were included in other current assets in our consolidated balance sheets. These costs were recognized in conjunction with the recognition of the related proceeds as settled. During the construction phase or for working capital purposes, we were required to hold cash dedicated to fund the project, which was classified as restricted cash in our consolidated balance sheet. As a result of the structure of these transactions, a variable-interest entity was created. As the other investors in these programs did not have a material interest in the entity's underlying economics, we included 100% of the results of the variable-interest entity in our consolidated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2022, the claimant in an arbitration of one such claim was awarded $20.0 million by an arbitration panel. The claimant then sought to confirm this award in Los Angeles Superior Court in March 2023. In response, the Company moved to vacate the award. Later in March 2023, the Superior Court confirmed the award, which the Company appealed in June 2023. The appeal was argued before the California Court of Appeals, Second Appellate District, Division Seven, on March 7, 2025. The California Court of Appeals confirmed the judgment of the Superior Court on March 25, 2025, and the Company paid the final arbitration award, including accrued post-judgment interest, in the amount of $24.7 million, on April 7, 2025. As a result of the judgment, in the fourth quarter of fiscal 2025, we recorded expense of $9.4 million, which represented the impact of the award amount net of existing reserves and insurance proceeds of $11.0 million.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200" w:lineRule="exact"/>
        <w:rPr>
          <w:sz w:val="20"/>
          <w:szCs w:val="20"/>
          <w:color w:val="auto"/>
        </w:rPr>
      </w:pPr>
    </w:p>
    <w:p>
      <w:pPr>
        <w:spacing w:after="0" w:line="21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Supplier Finance Program Obligations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supplier financing arrangement that enables select suppliers, at their sole discretion, to sell our receivables (i.e., our payment obligations to the suppliers) on a non-recourse basis in order to be paid earlier than our payment terms provide. These suppliers’ voluntary inclusion of invoices in the supplier financing arrangement has no bearing on our payment terms, the amounts we pay, or our liquidity. We have no economic interest in the supplier’s decision to participate in the supplier financing program, and we do not provide any guarantees in connection with it. The balances owed are reflected in accounts payable in the consolidated balance sheets and are reflected in net cash provided by operating activities in our consolidated statements of cash flows when settled.</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obligation activity and outstanding balance for the nine months ended November 29, 2025, that we have confirmed as valid to the administrators of our program:</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Obligations added to the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Obligations settled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00" w:lineRule="exact"/>
        <w:rPr>
          <w:sz w:val="20"/>
          <w:szCs w:val="20"/>
          <w:color w:val="auto"/>
        </w:rPr>
      </w:pPr>
    </w:p>
    <w:p>
      <w:pPr>
        <w:spacing w:after="0" w:line="386"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November 29, 2025</w:t>
            </w:r>
          </w:p>
        </w:tc>
      </w:tr>
      <w:tr>
        <w:trPr>
          <w:trHeight w:val="221"/>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6,846</w:t>
            </w:r>
          </w:p>
        </w:tc>
      </w:tr>
      <w:tr>
        <w:trPr>
          <w:trHeight w:val="230"/>
        </w:trPr>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39,692</w:t>
            </w:r>
          </w:p>
        </w:tc>
      </w:tr>
      <w:tr>
        <w:trPr>
          <w:trHeight w:val="234"/>
        </w:trPr>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(39,690)</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6,848</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859" w:lineRule="exact"/>
        <w:rPr>
          <w:sz w:val="20"/>
          <w:szCs w:val="20"/>
          <w:color w:val="auto"/>
        </w:rPr>
      </w:pPr>
    </w:p>
    <w:p>
      <w:pPr>
        <w:sectPr>
          <w:pgSz w:w="11900" w:h="16838" w:orient="portrait"/>
          <w:cols w:equalWidth="0" w:num="2">
            <w:col w:w="8480" w:space="720"/>
            <w:col w:w="2040"/>
          </w:cols>
          <w:pgMar w:left="320" w:top="229" w:right="339" w:bottom="1440" w:gutter="0" w:footer="0" w:header="0"/>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paid dividends totaling $16.6 million ($0.78 per share) in the first nine months of fiscal 2026, compared to dividends paid of $16.2 million ($0.75 per share) in the comparable prior year period.</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fiscal 2004, the Board of Directors authorized a share repurchase program allowing us to repurchase shares of our outstanding common stock, with subsequent increases in authorization. During the nine months ended November 29, 2025, we did not repurchase shares under the program. During the nine months ended November 30, 2024, we repurchased 241,573 shares under the program, for a total cost of $15.1 million. We have repurchased a total of 12,063,207 shares, at a total cost of $438.5 million, since the inception of this program in fiscal 2004. We have remaining authority to repurchase 2,186,793 shares under this program, which has no expiration date. We may elect to repurchase additional shares of common stock under our authorization, subject to limitations contained in our debt agreements and based upon our assessment of a number of factors, including share price, trading volume and general market conditions, working capital requirements, general business conditions, financial conditions, any applicable contractual limitations, and other factors, including alternative investment opportunities. We may finance share repurchases with available cash, additional debt or other sources of financing.</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shares withheld from the vesting of restricted awards, or the settlement of performance-based awards, are treated as purchases and retirements, and are included within other, net in the financing activities section in the consolidated statement of cash flows.</w:t>
      </w:r>
    </w:p>
    <w:p>
      <w:pPr>
        <w:spacing w:after="0" w:line="200" w:lineRule="exact"/>
        <w:rPr>
          <w:sz w:val="20"/>
          <w:szCs w:val="20"/>
          <w:color w:val="auto"/>
        </w:rPr>
      </w:pPr>
    </w:p>
    <w:p>
      <w:pPr>
        <w:spacing w:after="0" w:line="201"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our compensation structure, we grant stock-based compensation awards to certain employees and non-employee directors during the fiscal year. These awards may be in the form of incentive stock options (to employees only), restricted stock awards and restricted stock units, and performance share unit awards, all of which are granted at a price or with an exercise price equal to the fair market value of the Company’s stock at the date of award, unless the date of the award is on a day the Nasdaq Stock Market is not open for trading. In that case, the exercise price shall equal the fair market value on the most recent preceding date when such market is open.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sets forth the number of stock-based compensation awards granted during the nine months ended November 29, 2025, along with the weighted average grant date fair value: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9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160" w:type="dxa"/>
            <w:vAlign w:val="bottom"/>
          </w:tcPr>
          <w:p>
            <w:pPr>
              <w:spacing w:after="0"/>
              <w:rPr>
                <w:sz w:val="13"/>
                <w:szCs w:val="13"/>
                <w:color w:val="auto"/>
              </w:rPr>
            </w:pPr>
          </w:p>
        </w:tc>
        <w:tc>
          <w:tcPr>
            <w:tcW w:w="174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9"/>
        </w:trPr>
        <w:tc>
          <w:tcPr>
            <w:tcW w:w="7360" w:type="dxa"/>
            <w:vAlign w:val="bottom"/>
            <w:gridSpan w:val="2"/>
            <w:vMerge w:val="continue"/>
          </w:tcPr>
          <w:p>
            <w:pPr>
              <w:spacing w:after="0"/>
              <w:rPr>
                <w:sz w:val="17"/>
                <w:szCs w:val="17"/>
                <w:color w:val="auto"/>
              </w:rPr>
            </w:pPr>
          </w:p>
        </w:tc>
        <w:tc>
          <w:tcPr>
            <w:tcW w:w="19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6"/>
        </w:trPr>
        <w:tc>
          <w:tcPr>
            <w:tcW w:w="7240" w:type="dxa"/>
            <w:vAlign w:val="bottom"/>
            <w:tcBorders>
              <w:top w:val="single" w:sz="8" w:color="auto"/>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Restricted stock awards and restricted stock units</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178,103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0" w:type="dxa"/>
            <w:vAlign w:val="bottom"/>
          </w:tcPr>
          <w:p>
            <w:pPr>
              <w:spacing w:after="0"/>
              <w:rPr>
                <w:sz w:val="1"/>
                <w:szCs w:val="1"/>
                <w:color w:val="auto"/>
              </w:rPr>
            </w:pPr>
          </w:p>
        </w:tc>
      </w:tr>
      <w:tr>
        <w:trPr>
          <w:trHeight w:val="306"/>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Performance share units </w:t>
            </w:r>
            <w:r>
              <w:rPr>
                <w:rFonts w:ascii="Times New Roman" w:cs="Times New Roman" w:eastAsia="Times New Roman" w:hAnsi="Times New Roman"/>
                <w:sz w:val="23"/>
                <w:szCs w:val="23"/>
                <w:color w:val="auto"/>
                <w:vertAlign w:val="superscript"/>
              </w:rPr>
              <w:t>(2)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60" w:hanging="366"/>
        <w:spacing w:after="0"/>
        <w:tabs>
          <w:tab w:leader="none" w:pos="5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service condition awards which generally vest over a two- or three-year period.</w:t>
      </w:r>
    </w:p>
    <w:p>
      <w:pPr>
        <w:spacing w:after="0" w:line="41" w:lineRule="exact"/>
        <w:rPr>
          <w:rFonts w:ascii="Times New Roman" w:cs="Times New Roman" w:eastAsia="Times New Roman" w:hAnsi="Times New Roman"/>
          <w:sz w:val="14"/>
          <w:szCs w:val="14"/>
          <w:color w:val="auto"/>
        </w:rPr>
      </w:pPr>
    </w:p>
    <w:p>
      <w:pPr>
        <w:jc w:val="both"/>
        <w:ind w:left="560" w:right="20" w:hanging="366"/>
        <w:spacing w:after="0" w:line="241" w:lineRule="auto"/>
        <w:tabs>
          <w:tab w:leader="none" w:pos="5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performance condition awards with the grant equal to the target number of performance shares based on the share price at grant date. These grants allow for the right to receive a variable number of shares, between 0% and 200% of target, dependent on being employed at the end of the performance period and achieving defined performance goals for average adjusted return on invested capital and cumulative adjusted earnings per share.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share-based compensation expense included in the results of operations was $3.8 million and $2.4 million for the three months ended November 29, 2025, and November 30, 2024, respectively and $6.6 million and $8.1 million for the nine months ended November 29, 2025, and November 30, 2024, respectively.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31, 2025, the Company announced the separation of its Chief Executive Officer. In connection with this separation agreement, the Board of Directors approved the accelerated vesting of certain outstanding unvested restricted stock awards and performance share unit awards previously granted. As a result of this modification, the Company recognized incremental stock-based compensation expense of $2.1 million during the third quarter of fiscal 2026, representing the fair value of the awards that would have otherwise vested over the remaining service periods. This amount is included in SG&amp;A expenses in the Consolidated Results of Operations.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November 29, 2025, there was $9.4 million of total unrecognized compensation cost related to nonvested share and nonvested share unit awards, which is expected to be recognized over a weighted average period of approximately 2.0 years. The total fair value of shares vested during the nine months ended November 29, 2025, was $12.4 million.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file income tax returns in the U.S. federal jurisdiction, various U.S. state and local jurisdictions, Canada, Brazil, and other international jurisdictions. In September 2025, the Company was notified that the Internal Revenue Service will conduct a U.S. federal examination for fiscal 2023. There is very limited audit activity of our income tax returns in U.S. state jurisdictions or international jurisdictions.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interim periods, income tax expense and resulting effective tax rate are based upon an estimated annual effective tax rate adjusted for the effects of items required to be treated as discrete to the period, including changes in tax laws, changes in estimated exposures for uncertain tax positions and other items. For the three months ended November 29, 2025, income tax expense as a percentage of earnings before income tax was 31.4%, compared to 24.1% for the same period last year. The change in the effective tax rate was primarily due to an increase in tax expense on discrete items. For the nine months ended November 29, 2025, income tax expense as a percentage of earnings before income tax was 31.1% compared to 24.8% for the same period last year. The increase in the effective tax rate was primarily driven by tax expenses on discrete items.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liability for unrecognized tax benefits was $5.9 million at November 29, 2025, compared to $6.0 million at March 1, 2025. Penalties and interest related to unrecognized tax benefits are recorded in income tax expense.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in the United States, introducing a wide array of tax reform measures. These include extensions and modifications to certain provisions originally enacted under the Tax Cuts and Jobs Act. Key changes include the immediate expensing of domestic research and development costs, the reinstatement of 100% bonus depreciation, and a new interest expense limitation based on earnings before interest, taxes, depreciation and amortization (EBITDA). These provisions did not have a material effect on the Company’s effective tax rate for the nine-month period ended November 29, 2025.</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share amounts used in the computation of basic and diluted earnings per share (diluted EPS):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820" w:type="dxa"/>
            <w:vAlign w:val="bottom"/>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November 29, 2025</w:t>
            </w: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November 29, 2025</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0" w:type="dxa"/>
            <w:vAlign w:val="bottom"/>
          </w:tcPr>
          <w:p>
            <w:pPr>
              <w:spacing w:after="0"/>
              <w:rPr>
                <w:sz w:val="1"/>
                <w:szCs w:val="1"/>
                <w:color w:val="auto"/>
              </w:rPr>
            </w:pPr>
          </w:p>
        </w:tc>
      </w:tr>
      <w:tr>
        <w:trPr>
          <w:trHeight w:val="229"/>
        </w:trPr>
        <w:tc>
          <w:tcPr>
            <w:tcW w:w="5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82,566</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5240" w:type="dxa"/>
            <w:vAlign w:val="bottom"/>
            <w:gridSpan w:val="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Basic earnings per share – weighted average common shares</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outstanding</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21,789</w:t>
            </w:r>
          </w:p>
        </w:tc>
        <w:tc>
          <w:tcPr>
            <w:tcW w:w="0" w:type="dxa"/>
            <w:vAlign w:val="bottom"/>
          </w:tcPr>
          <w:p>
            <w:pPr>
              <w:spacing w:after="0"/>
              <w:rPr>
                <w:sz w:val="1"/>
                <w:szCs w:val="1"/>
                <w:color w:val="auto"/>
              </w:rPr>
            </w:pPr>
          </w:p>
        </w:tc>
      </w:tr>
      <w:tr>
        <w:trPr>
          <w:trHeight w:val="175"/>
        </w:trPr>
        <w:tc>
          <w:tcPr>
            <w:tcW w:w="5240" w:type="dxa"/>
            <w:vAlign w:val="bottom"/>
            <w:gridSpan w:val="2"/>
          </w:tcPr>
          <w:p>
            <w:pPr>
              <w:ind w:left="400"/>
              <w:spacing w:after="0" w:line="176" w:lineRule="exact"/>
              <w:rPr>
                <w:sz w:val="20"/>
                <w:szCs w:val="20"/>
                <w:color w:val="auto"/>
              </w:rPr>
            </w:pPr>
            <w:r>
              <w:rPr>
                <w:rFonts w:ascii="Times New Roman" w:cs="Times New Roman" w:eastAsia="Times New Roman" w:hAnsi="Times New Roman"/>
                <w:sz w:val="18"/>
                <w:szCs w:val="18"/>
                <w:color w:val="auto"/>
              </w:rPr>
              <w:t>Weighted average effect of nonvested share grants and assumed</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155"/>
        </w:trPr>
        <w:tc>
          <w:tcPr>
            <w:tcW w:w="524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Diluted earnings per share – weighted average common shares and</w:t>
            </w:r>
          </w:p>
        </w:tc>
        <w:tc>
          <w:tcPr>
            <w:tcW w:w="12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21,937</w:t>
            </w:r>
          </w:p>
        </w:tc>
        <w:tc>
          <w:tcPr>
            <w:tcW w:w="0" w:type="dxa"/>
            <w:vAlign w:val="bottom"/>
          </w:tcPr>
          <w:p>
            <w:pPr>
              <w:spacing w:after="0"/>
              <w:rPr>
                <w:sz w:val="1"/>
                <w:szCs w:val="1"/>
                <w:color w:val="auto"/>
              </w:rPr>
            </w:pPr>
          </w:p>
        </w:tc>
      </w:tr>
      <w:tr>
        <w:trPr>
          <w:trHeight w:val="236"/>
        </w:trPr>
        <w:tc>
          <w:tcPr>
            <w:tcW w:w="5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potential common shares outstanding</w:t>
            </w:r>
          </w:p>
        </w:tc>
        <w:tc>
          <w:tcPr>
            <w:tcW w:w="1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gridSpan w:val="2"/>
            <w:vMerge w:val="restart"/>
          </w:tcPr>
          <w:p>
            <w:pPr>
              <w:ind w:left="440"/>
              <w:spacing w:after="0" w:line="163" w:lineRule="exact"/>
              <w:rPr>
                <w:sz w:val="20"/>
                <w:szCs w:val="20"/>
                <w:color w:val="auto"/>
              </w:rPr>
            </w:pPr>
            <w:r>
              <w:rPr>
                <w:rFonts w:ascii="Times New Roman" w:cs="Times New Roman" w:eastAsia="Times New Roman" w:hAnsi="Times New Roman"/>
                <w:sz w:val="18"/>
                <w:szCs w:val="18"/>
                <w:color w:val="auto"/>
              </w:rPr>
              <w:t>Stock awards excluded from the calculation of earnings per</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5240" w:type="dxa"/>
            <w:vAlign w:val="bottom"/>
            <w:gridSpan w:val="2"/>
          </w:tcPr>
          <w:p>
            <w:pPr>
              <w:ind w:left="440"/>
              <w:spacing w:after="0" w:line="184" w:lineRule="exact"/>
              <w:rPr>
                <w:sz w:val="20"/>
                <w:szCs w:val="20"/>
                <w:color w:val="auto"/>
              </w:rPr>
            </w:pPr>
            <w:r>
              <w:rPr>
                <w:rFonts w:ascii="Times New Roman" w:cs="Times New Roman" w:eastAsia="Times New Roman" w:hAnsi="Times New Roman"/>
                <w:sz w:val="18"/>
                <w:szCs w:val="18"/>
                <w:color w:val="auto"/>
              </w:rPr>
              <w:t>share because the effect was anti-dilutive (award price greater</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than average market price of the shares)</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Business Segment Data</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four operating segments which are also reportable segments. Each of our four segments has distinct economic characteristics, including products and services provided, production processes and varying ranges in performance and results: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60" w:hanging="331"/>
        <w:spacing w:after="0" w:line="286" w:lineRule="auto"/>
        <w:tabs>
          <w:tab w:leader="none" w:pos="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Metals Segment</w:t>
      </w:r>
      <w:r>
        <w:rPr>
          <w:rFonts w:ascii="Times New Roman" w:cs="Times New Roman" w:eastAsia="Times New Roman" w:hAnsi="Times New Roman"/>
          <w:sz w:val="18"/>
          <w:szCs w:val="18"/>
          <w:color w:val="auto"/>
        </w:rPr>
        <w:t xml:space="preserve"> designs, engineers, fabricates and finishes aluminum window, curtainwall, storefront and entrance systems used primarily in non-residential construction.</w:t>
      </w:r>
    </w:p>
    <w:p>
      <w:pPr>
        <w:spacing w:after="0" w:line="46" w:lineRule="exact"/>
        <w:rPr>
          <w:rFonts w:ascii="Times New Roman" w:cs="Times New Roman" w:eastAsia="Times New Roman" w:hAnsi="Times New Roman"/>
          <w:sz w:val="18"/>
          <w:szCs w:val="18"/>
          <w:color w:val="auto"/>
        </w:rPr>
      </w:pPr>
    </w:p>
    <w:p>
      <w:pPr>
        <w:ind w:left="460" w:hanging="331"/>
        <w:spacing w:after="0" w:line="286" w:lineRule="auto"/>
        <w:tabs>
          <w:tab w:leader="none" w:pos="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Services Segment</w:t>
      </w:r>
      <w:r>
        <w:rPr>
          <w:rFonts w:ascii="Times New Roman" w:cs="Times New Roman" w:eastAsia="Times New Roman" w:hAnsi="Times New Roman"/>
          <w:sz w:val="18"/>
          <w:szCs w:val="18"/>
          <w:color w:val="auto"/>
        </w:rPr>
        <w:t xml:space="preserve"> integrates technical services, project management, and field installation services to design, engineer, fabricate, and install architectural curtainwall and other façade-related systems primarily in non-residential construction.</w:t>
      </w:r>
    </w:p>
    <w:p>
      <w:pPr>
        <w:spacing w:after="0" w:line="46" w:lineRule="exact"/>
        <w:rPr>
          <w:rFonts w:ascii="Times New Roman" w:cs="Times New Roman" w:eastAsia="Times New Roman" w:hAnsi="Times New Roman"/>
          <w:sz w:val="18"/>
          <w:szCs w:val="18"/>
          <w:color w:val="auto"/>
        </w:rPr>
      </w:pPr>
    </w:p>
    <w:p>
      <w:pPr>
        <w:ind w:left="460" w:hanging="331"/>
        <w:spacing w:after="0" w:line="286" w:lineRule="auto"/>
        <w:tabs>
          <w:tab w:leader="none" w:pos="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Glass Segment</w:t>
      </w:r>
      <w:r>
        <w:rPr>
          <w:rFonts w:ascii="Times New Roman" w:cs="Times New Roman" w:eastAsia="Times New Roman" w:hAnsi="Times New Roman"/>
          <w:sz w:val="18"/>
          <w:szCs w:val="18"/>
          <w:color w:val="auto"/>
        </w:rPr>
        <w:t xml:space="preserve"> cuts, treats, coats and fabricates high-performance glass used in custom window and wall systems primarily for non-residential buildings.</w:t>
      </w:r>
    </w:p>
    <w:p>
      <w:pPr>
        <w:spacing w:after="0" w:line="46" w:lineRule="exact"/>
        <w:rPr>
          <w:rFonts w:ascii="Times New Roman" w:cs="Times New Roman" w:eastAsia="Times New Roman" w:hAnsi="Times New Roman"/>
          <w:sz w:val="18"/>
          <w:szCs w:val="18"/>
          <w:color w:val="auto"/>
        </w:rPr>
      </w:pPr>
    </w:p>
    <w:p>
      <w:pPr>
        <w:ind w:left="460" w:hanging="331"/>
        <w:spacing w:after="0" w:line="286" w:lineRule="auto"/>
        <w:tabs>
          <w:tab w:leader="none" w:pos="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Performance Surfaces Segment</w:t>
      </w:r>
      <w:r>
        <w:rPr>
          <w:rFonts w:ascii="Times New Roman" w:cs="Times New Roman" w:eastAsia="Times New Roman" w:hAnsi="Times New Roman"/>
          <w:sz w:val="18"/>
          <w:szCs w:val="18"/>
          <w:color w:val="auto"/>
        </w:rPr>
        <w:t xml:space="preserve"> develops and manufactures high-performance coated materials for a variety of applications, including wall decor, museums, graphic design, digital displays, architectural interiors, and industrial flooring.</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CEO is the chief operating decision maker (CODM)</w:t>
      </w:r>
      <w:r>
        <w:rPr>
          <w:rFonts w:ascii="Arial" w:cs="Arial" w:eastAsia="Arial" w:hAnsi="Arial"/>
          <w:sz w:val="17"/>
          <w:szCs w:val="17"/>
          <w:color w:val="auto"/>
        </w:rPr>
        <w:t>.</w:t>
      </w:r>
      <w:r>
        <w:rPr>
          <w:rFonts w:ascii="Times New Roman" w:cs="Times New Roman" w:eastAsia="Times New Roman" w:hAnsi="Times New Roman"/>
          <w:sz w:val="18"/>
          <w:szCs w:val="18"/>
          <w:color w:val="auto"/>
        </w:rPr>
        <w:t xml:space="preserve"> The CODM utilizes net sales and adjusted EBITDA to assess segment performance and make decisions about the allocation of operating and capital resources by analyzing recent results, trends, and variances of each segment in relation to forecasts and historical performance.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adjusted cost of sales, adjusted SG&amp;A, adjusted other income (expense), depreciation and amortization and the resulting adjusted EBITDA for each of the Company’s four reportable segments are presented below. Segment net sales is defined as net sales for a certain segment and includes revenue related to intersegment transactions. We report net sales intersegment eliminations separately to exclude these sales from our consolidated total. Segment adjusted EBITDA includes intersegment sales transactions and excludes certain corporate costs that are not allocated at a segment level. We report these unallocated corporate costs in Corporate and Other.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 November 29, 2025</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280" w:type="dxa"/>
            <w:vAlign w:val="bottom"/>
          </w:tcPr>
          <w:p>
            <w:pPr>
              <w:spacing w:after="0"/>
              <w:rPr>
                <w:sz w:val="13"/>
                <w:szCs w:val="13"/>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Glass</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Surfaces</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105,166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348,563</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segment net sales</w:t>
            </w: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105,166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353,431</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cost of sales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(264,267)</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SG&amp;A </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(50,512)</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other expense, net </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depreciation and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11,763</w:t>
            </w: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50,403</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6"/>
        </w:trPr>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 November 30, 2024</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280" w:type="dxa"/>
            <w:vAlign w:val="bottom"/>
          </w:tcPr>
          <w:p>
            <w:pPr>
              <w:spacing w:after="0"/>
              <w:rPr>
                <w:sz w:val="13"/>
                <w:szCs w:val="13"/>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Glass</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Surfaces</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341,344</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segment net sales</w:t>
            </w: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346,392</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cost of sales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(256,579)</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SG&amp;A </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(50,957)</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other expense, net </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depreciation and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49,293</w:t>
            </w:r>
          </w:p>
        </w:tc>
        <w:tc>
          <w:tcPr>
            <w:tcW w:w="0" w:type="dxa"/>
            <w:vAlign w:val="bottom"/>
          </w:tcPr>
          <w:p>
            <w:pPr>
              <w:spacing w:after="0"/>
              <w:rPr>
                <w:sz w:val="1"/>
                <w:szCs w:val="1"/>
                <w:color w:val="auto"/>
              </w:rPr>
            </w:pPr>
          </w:p>
        </w:tc>
      </w:tr>
      <w:tr>
        <w:trPr>
          <w:trHeight w:val="21"/>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Nine Months Ended November 29, 2025</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280" w:type="dxa"/>
            <w:vAlign w:val="bottom"/>
          </w:tcPr>
          <w:p>
            <w:pPr>
              <w:spacing w:after="0"/>
              <w:rPr>
                <w:sz w:val="13"/>
                <w:szCs w:val="13"/>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Glass</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Surfaces</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312,161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1,053,379</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12,699</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segment net sales</w:t>
            </w: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312,161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216,306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1,066,078</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cost of sales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(803,806)</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SG&amp;A </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(161,511)</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other expense, net </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depreciation and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35,239</w:t>
            </w: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46,946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36,598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135,923</w:t>
            </w:r>
          </w:p>
        </w:tc>
        <w:tc>
          <w:tcPr>
            <w:tcW w:w="0" w:type="dxa"/>
            <w:vAlign w:val="bottom"/>
          </w:tcPr>
          <w:p>
            <w:pPr>
              <w:spacing w:after="0"/>
              <w:rPr>
                <w:sz w:val="1"/>
                <w:szCs w:val="1"/>
                <w:color w:val="auto"/>
              </w:rPr>
            </w:pPr>
          </w:p>
        </w:tc>
      </w:tr>
      <w:tr>
        <w:trPr>
          <w:trHeight w:val="21"/>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6"/>
        </w:trPr>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Nine Months Ended November 30, 2024</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280" w:type="dxa"/>
            <w:vAlign w:val="bottom"/>
          </w:tcPr>
          <w:p>
            <w:pPr>
              <w:spacing w:after="0"/>
              <w:rPr>
                <w:sz w:val="13"/>
                <w:szCs w:val="13"/>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Glass</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Surfaces</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301,966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226,633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1,015,300</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20,499</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segment net sales</w:t>
            </w: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301,966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1,035,799</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cost of sales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(748,109)</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SG&amp;A </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(152,636)</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other income, net </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depreciation and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28,700</w:t>
            </w: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57,551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163,871</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560" w:right="20" w:hanging="366"/>
        <w:spacing w:after="0" w:line="231" w:lineRule="auto"/>
        <w:tabs>
          <w:tab w:leader="none" w:pos="5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cost of sales excludes $0.1 million and $3.4 million related to acquisition and restructuring expense, respectively, for the three months ended November 29, 2025, and excludes $0.5 million and $13.3 million related to acquisition and restructuring expense, respectively, for the nine months ended November 29, 2025. Adjusted cost of sales excludes $0.1 million of income and $1.3 million of expense related to restructuring for the three and nine months ended November 30, 2024, respectively. For the three and nine months ended November 30, 2024, adjusted cost of sales excludes $0.4 million related to acquisition expense. These adjustments are described in greater detail in the reconciliation below.</w:t>
      </w:r>
    </w:p>
    <w:p>
      <w:pPr>
        <w:spacing w:after="0" w:line="14" w:lineRule="exact"/>
        <w:rPr>
          <w:rFonts w:ascii="Times New Roman" w:cs="Times New Roman" w:eastAsia="Times New Roman" w:hAnsi="Times New Roman"/>
          <w:sz w:val="14"/>
          <w:szCs w:val="14"/>
          <w:color w:val="auto"/>
        </w:rPr>
      </w:pPr>
    </w:p>
    <w:p>
      <w:pPr>
        <w:jc w:val="both"/>
        <w:ind w:left="560" w:right="20" w:hanging="366"/>
        <w:spacing w:after="0" w:line="231" w:lineRule="auto"/>
        <w:tabs>
          <w:tab w:leader="none" w:pos="5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SG&amp;A expense excludes $0.2 million and $1.0 million related to acquisition and restructuring expense, respectively, for the three months ended November 29, 2025, and excludes $1.2 million and $6.9 million related to acquisition and restructuring expense, respectively, for the nine months ended November 29, 2025. Adjusted SG&amp;A expense excludes $0.3 million and $1.0 million related to restructuring expense for the three and nine months ended November 30, 2024, respectively. For the three and nine months ended November 30, 2024, adjusted SG&amp;A excludes $0.9 million related to acquisition expense. These adjustments are described in greater detail in the reconciliation below.</w:t>
      </w:r>
    </w:p>
    <w:p>
      <w:pPr>
        <w:spacing w:after="0" w:line="14" w:lineRule="exact"/>
        <w:rPr>
          <w:rFonts w:ascii="Times New Roman" w:cs="Times New Roman" w:eastAsia="Times New Roman" w:hAnsi="Times New Roman"/>
          <w:sz w:val="14"/>
          <w:szCs w:val="14"/>
          <w:color w:val="auto"/>
        </w:rPr>
      </w:pPr>
    </w:p>
    <w:p>
      <w:pPr>
        <w:ind w:left="560" w:hanging="366"/>
        <w:spacing w:after="0"/>
        <w:tabs>
          <w:tab w:leader="none" w:pos="5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other income, net excludes $2.1 million and $6.7 million of NMTC gain recognized for the three and nine months ended November 29, 2025, respectively.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reconciliation of adjusted EBITDA to net earnings, the nearest measurement under U.S. GAAP:</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8"/>
                <w:szCs w:val="18"/>
                <w:color w:val="auto"/>
              </w:rPr>
            </w:pPr>
          </w:p>
        </w:tc>
        <w:tc>
          <w:tcPr>
            <w:tcW w:w="3520" w:type="dxa"/>
            <w:vAlign w:val="bottom"/>
            <w:gridSpan w:val="4"/>
          </w:tcPr>
          <w:p>
            <w:pPr>
              <w:jc w:val="right"/>
              <w:ind w:right="111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November 29,</w:t>
            </w:r>
          </w:p>
        </w:tc>
        <w:tc>
          <w:tcPr>
            <w:tcW w:w="28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jc w:val="right"/>
              <w:ind w:right="372"/>
              <w:spacing w:after="0" w:line="158" w:lineRule="exact"/>
              <w:rPr>
                <w:sz w:val="20"/>
                <w:szCs w:val="20"/>
                <w:color w:val="auto"/>
              </w:rPr>
            </w:pPr>
            <w:r>
              <w:rPr>
                <w:rFonts w:ascii="Times New Roman" w:cs="Times New Roman" w:eastAsia="Times New Roman" w:hAnsi="Times New Roman"/>
                <w:sz w:val="16"/>
                <w:szCs w:val="16"/>
                <w:b w:val="1"/>
                <w:bCs w:val="1"/>
                <w:color w:val="auto"/>
              </w:rPr>
              <w:t>November 30,</w:t>
            </w: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November 29,</w:t>
            </w:r>
          </w:p>
        </w:tc>
        <w:tc>
          <w:tcPr>
            <w:tcW w:w="26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jc w:val="right"/>
              <w:ind w:right="352"/>
              <w:spacing w:after="0" w:line="158" w:lineRule="exact"/>
              <w:rPr>
                <w:sz w:val="20"/>
                <w:szCs w:val="20"/>
                <w:color w:val="auto"/>
              </w:rPr>
            </w:pPr>
            <w:r>
              <w:rPr>
                <w:rFonts w:ascii="Times New Roman" w:cs="Times New Roman" w:eastAsia="Times New Roman" w:hAnsi="Times New Roman"/>
                <w:sz w:val="16"/>
                <w:szCs w:val="16"/>
                <w:b w:val="1"/>
                <w:bCs w:val="1"/>
                <w:color w:val="auto"/>
              </w:rPr>
              <w:t>November 30,</w:t>
            </w:r>
          </w:p>
        </w:tc>
      </w:tr>
      <w:tr>
        <w:trPr>
          <w:trHeight w:val="214"/>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80" w:type="dxa"/>
            <w:vAlign w:val="bottom"/>
          </w:tcPr>
          <w:p>
            <w:pPr>
              <w:spacing w:after="0"/>
              <w:rPr>
                <w:sz w:val="18"/>
                <w:szCs w:val="18"/>
                <w:color w:val="auto"/>
              </w:rPr>
            </w:pPr>
          </w:p>
        </w:tc>
        <w:tc>
          <w:tcPr>
            <w:tcW w:w="1560" w:type="dxa"/>
            <w:vAlign w:val="bottom"/>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135,923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163,871</w:t>
            </w:r>
          </w:p>
        </w:tc>
      </w:tr>
      <w:tr>
        <w:trPr>
          <w:trHeight w:val="229"/>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(16,978)</w:t>
            </w:r>
          </w:p>
        </w:tc>
      </w:tr>
      <w:tr>
        <w:trPr>
          <w:trHeight w:val="230"/>
        </w:trPr>
        <w:tc>
          <w:tcPr>
            <w:tcW w:w="35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acquisition-related costs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r>
      <w:tr>
        <w:trPr>
          <w:trHeight w:val="229"/>
        </w:trPr>
        <w:tc>
          <w:tcPr>
            <w:tcW w:w="35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restructuring costs </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r>
      <w:tr>
        <w:trPr>
          <w:trHeight w:val="229"/>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(30,798)</w:t>
            </w:r>
          </w:p>
        </w:tc>
      </w:tr>
      <w:tr>
        <w:trPr>
          <w:trHeight w:val="230"/>
        </w:trPr>
        <w:tc>
          <w:tcPr>
            <w:tcW w:w="35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income </w:t>
            </w:r>
            <w:r>
              <w:rPr>
                <w:rFonts w:ascii="Times New Roman" w:cs="Times New Roman" w:eastAsia="Times New Roman" w:hAnsi="Times New Roman"/>
                <w:sz w:val="23"/>
                <w:szCs w:val="23"/>
                <w:color w:val="auto"/>
                <w:vertAlign w:val="superscript"/>
              </w:rPr>
              <w:t>(3)</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r>
      <w:tr>
        <w:trPr>
          <w:trHeight w:val="230"/>
        </w:trPr>
        <w:tc>
          <w:tcPr>
            <w:tcW w:w="3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(27,268)</w:t>
            </w:r>
          </w:p>
        </w:tc>
      </w:tr>
      <w:tr>
        <w:trPr>
          <w:trHeight w:val="248"/>
        </w:trPr>
        <w:tc>
          <w:tcPr>
            <w:tcW w:w="35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82,566</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560" w:hanging="366"/>
        <w:spacing w:after="0"/>
        <w:tabs>
          <w:tab w:leader="none" w:pos="5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Acquisition-related costs include costs related to one-time expenses incurred to integrate the UW Solutions acquisition.</w:t>
      </w:r>
    </w:p>
    <w:p>
      <w:pPr>
        <w:spacing w:after="0" w:line="41" w:lineRule="exact"/>
        <w:rPr>
          <w:rFonts w:ascii="Times New Roman" w:cs="Times New Roman" w:eastAsia="Times New Roman" w:hAnsi="Times New Roman"/>
          <w:sz w:val="14"/>
          <w:szCs w:val="14"/>
          <w:color w:val="auto"/>
        </w:rPr>
      </w:pPr>
    </w:p>
    <w:p>
      <w:pPr>
        <w:ind w:left="560" w:hanging="366"/>
        <w:spacing w:after="0"/>
        <w:tabs>
          <w:tab w:leader="none" w:pos="5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restructuring charges related to Project Fortify.</w:t>
      </w:r>
    </w:p>
    <w:p>
      <w:pPr>
        <w:spacing w:after="0" w:line="41" w:lineRule="exact"/>
        <w:rPr>
          <w:rFonts w:ascii="Times New Roman" w:cs="Times New Roman" w:eastAsia="Times New Roman" w:hAnsi="Times New Roman"/>
          <w:sz w:val="14"/>
          <w:szCs w:val="14"/>
          <w:color w:val="auto"/>
        </w:rPr>
      </w:pPr>
    </w:p>
    <w:p>
      <w:pPr>
        <w:ind w:left="560" w:hanging="366"/>
        <w:spacing w:after="0"/>
        <w:tabs>
          <w:tab w:leader="none" w:pos="5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income, net includes $2.1 million and $6.7 million of NMTC gain recognized for the three and nine months ended November 29, 2025, respectively.</w:t>
      </w:r>
    </w:p>
    <w:p>
      <w:pPr>
        <w:spacing w:after="0" w:line="200" w:lineRule="exact"/>
        <w:rPr>
          <w:rFonts w:ascii="Times New Roman" w:cs="Times New Roman" w:eastAsia="Times New Roman" w:hAnsi="Times New Roman"/>
          <w:sz w:val="14"/>
          <w:szCs w:val="14"/>
          <w:color w:val="auto"/>
        </w:rPr>
      </w:pPr>
    </w:p>
    <w:p>
      <w:pPr>
        <w:spacing w:after="0" w:line="3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4, 2024, we completed the acquisition of UW Solutions for $240.9 million in cash. UW Solutions is a U.S. based, vertically integrated manufacturer of high-performance coated substrates with a portfolio of well-known brands, including ResinDEK®, ChromaLuxe®, RDC Coatings™, and Unisub®, each known as a leader in its specified applications. The UW Solutions business activity is included in our Performance Surfaces Segment.</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total purchase consideration was $232.2 million in cash, net of a favorable net working capital adjustment of $0.9 million and cash acquired of $8.7 million. The acquisition was funded with cash on hand and borrowings under our existing credit agreement. During fiscal 2025, we incurred total pre-tax acquisition-related expenses of $10.3 million associated with the acquisition. During the three-month period ended November 29, 2025, we incurred integration costs associated with the acquisition of $0.3 million, of which $0.1 million and $0.2 million are included in cost of sales and SG&amp;A, respectively, within our Consolidated Results of Operations. During the nine-month period ended November 29, 2025, we incurred integration costs associated with the acquisition of $2.0 million, of which $0.5 million and $1.5 million are included in cost of sales and SG&amp;A, respectively, within our Consolidated Results of Operations.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accounted for the acquisition as a purchase of a business and recorded the excess of the purchase price over the estimated fair value of the assets acquired and liabilities assumed as goodwill of $107.8 million. The goodwill recognized is attributable primarily to expected synergies by integrating UW Solutions into our Performance Surfaces Segment and by creating a scalable growth platform in the specialty coatings and materials market. The goodwill is expected to be amortized and deductible for income tax purposes. We have provisionally determined the appropriate fair values of the acquired intangible assets and completed our analysis of the economic lives of the assets acquired.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estimated fair values of assets acquired and liabilities assumed at the acquisition date: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7"/>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w:t>
            </w:r>
          </w:p>
        </w:tc>
      </w:tr>
      <w:tr>
        <w:trPr>
          <w:trHeight w:val="229"/>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12,427</w:t>
            </w:r>
          </w:p>
        </w:tc>
      </w:tr>
      <w:tr>
        <w:trPr>
          <w:trHeight w:val="229"/>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17,903</w:t>
            </w:r>
          </w:p>
        </w:tc>
      </w:tr>
      <w:tr>
        <w:trPr>
          <w:trHeight w:val="230"/>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29"/>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26,563</w:t>
            </w:r>
          </w:p>
        </w:tc>
      </w:tr>
      <w:tr>
        <w:trPr>
          <w:trHeight w:val="230"/>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14,189</w:t>
            </w:r>
          </w:p>
        </w:tc>
      </w:tr>
      <w:tr>
        <w:trPr>
          <w:trHeight w:val="229"/>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107,826</w:t>
            </w:r>
          </w:p>
        </w:tc>
      </w:tr>
      <w:tr>
        <w:trPr>
          <w:trHeight w:val="229"/>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79,679</w:t>
            </w:r>
          </w:p>
        </w:tc>
      </w:tr>
      <w:tr>
        <w:trPr>
          <w:trHeight w:val="230"/>
        </w:trPr>
        <w:tc>
          <w:tcPr>
            <w:tcW w:w="9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3"/>
        </w:trPr>
        <w:tc>
          <w:tcPr>
            <w:tcW w:w="9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268,578</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r>
      <w:tr>
        <w:trPr>
          <w:trHeight w:val="229"/>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r>
      <w:tr>
        <w:trPr>
          <w:trHeight w:val="230"/>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r>
      <w:tr>
        <w:trPr>
          <w:trHeight w:val="229"/>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30"/>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w:t>
            </w:r>
          </w:p>
        </w:tc>
      </w:tr>
      <w:tr>
        <w:trPr>
          <w:trHeight w:val="223"/>
        </w:trPr>
        <w:tc>
          <w:tcPr>
            <w:tcW w:w="9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27,705</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recorded</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240,873</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impact of the acquisition of UW Solutions on our Consolidated Results of Operations for the three-month period ended on November 29, 2025, was $27.9 million of net sales and $0.3 million of net income, and for the nine-month period ended on November 29, 2025, was $74.8 million of net sales and $1.8 million of net loss.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supplemental unaudited pro forma information presents our financial results as if the acquisition of UW Solutions had occurred on March 3, 2024. This supplemental pro forma information has been prepared for comparative purposes and would not necessarily indicate what may have occurred if the acquisition had been completed on March 3, 2024, and this information is not intended to be indicative of future results.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earnings per share data)</w:t>
            </w:r>
          </w:p>
        </w:tc>
        <w:tc>
          <w:tcPr>
            <w:tcW w:w="160" w:type="dxa"/>
            <w:vAlign w:val="bottom"/>
          </w:tcPr>
          <w:p>
            <w:pPr>
              <w:spacing w:after="0"/>
              <w:rPr>
                <w:sz w:val="16"/>
                <w:szCs w:val="16"/>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4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50"/>
        </w:trPr>
        <w:tc>
          <w:tcPr>
            <w:tcW w:w="78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60" w:type="dxa"/>
            <w:vAlign w:val="bottom"/>
          </w:tcPr>
          <w:p>
            <w:pPr>
              <w:spacing w:after="0"/>
              <w:rPr>
                <w:sz w:val="4"/>
                <w:szCs w:val="4"/>
                <w:color w:val="auto"/>
              </w:rPr>
            </w:pPr>
          </w:p>
        </w:tc>
        <w:tc>
          <w:tcPr>
            <w:tcW w:w="148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0" w:type="dxa"/>
            <w:vAlign w:val="bottom"/>
          </w:tcPr>
          <w:p>
            <w:pPr>
              <w:spacing w:after="0"/>
              <w:rPr>
                <w:sz w:val="1"/>
                <w:szCs w:val="1"/>
                <w:color w:val="auto"/>
              </w:rPr>
            </w:pPr>
          </w:p>
        </w:tc>
      </w:tr>
      <w:tr>
        <w:trPr>
          <w:trHeight w:val="166"/>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(Unaudited)</w:t>
            </w:r>
          </w:p>
        </w:tc>
        <w:tc>
          <w:tcPr>
            <w:tcW w:w="16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7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1,077,941</w:t>
            </w:r>
          </w:p>
        </w:tc>
        <w:tc>
          <w:tcPr>
            <w:tcW w:w="0" w:type="dxa"/>
            <w:vAlign w:val="bottom"/>
          </w:tcPr>
          <w:p>
            <w:pPr>
              <w:spacing w:after="0"/>
              <w:rPr>
                <w:sz w:val="1"/>
                <w:szCs w:val="1"/>
                <w:color w:val="auto"/>
              </w:rPr>
            </w:pPr>
          </w:p>
        </w:tc>
      </w:tr>
      <w:tr>
        <w:trPr>
          <w:trHeight w:val="230"/>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72,150</w:t>
            </w: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29"/>
        </w:trPr>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three-month period ended November 30, 2024, includes $0.6 million of non-recurring integration costs in the three-month proforma period. Nonrecurring charges of $4.4 million of transaction costs, $2.3 million of integration costs, $2.3 million of amortization of acquired backlog, and $1.5 million of inventory step-up expense are included in the nine-month period ended November 30, 2024, and are included in the nine-month proforma period ended November 30, 2024.</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amounts have been calculated after applying our accounting policies and adjusting the results of UW Solutions to reflect the effect of definite-lived intangible assets recognized as part of the business combination on amortization expense as if the acquisition had occurred on March 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Restructuring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2024, we announced strategic actions to streamline our business operations, enable a more efficient cost model, and better position the Company for profitable growth (referred to as “Project Fortify”). Project Fortify primarily impacted the Architectural Metals Segment and included:</w:t>
      </w:r>
    </w:p>
    <w:p>
      <w:pPr>
        <w:spacing w:after="0" w:line="6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certain lower-margin product and service offerings, enabling consolidation into a single operating entity.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production operations from the Company’s facility in Walker, Michigan, to the Company’s facilities in Monett, Missouri and Wausau, Wisconsin.</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Simplifying the segment’s brand portfolio and commercial model to improve flexibility, better leverage the Company’s capabilities, and enhance customer service.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 Company implemented actions to optimize processes and streamline resources in its Architectural Services Segment and Corporate and Other. The Company completed Project Fortify during the fourth quarter of fiscal 2025 and incurred a total of $16.7 million of restructuring charges, which led to an annualized pre-tax cost savings of approximately $14 million.</w:t>
      </w:r>
    </w:p>
    <w:p>
      <w:pPr>
        <w:spacing w:after="0" w:line="6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April 23, 2025, we announced a second phase of Project Fortify (referred to as "Project Fortify Phase 2" or "Phase 2") to drive further cost efficiencies, primarily in the Architectural Metals and Architectural Services Segments. Phase 2 focuses on further optimizing our operating footprint and aligning resources to enable a more effective operating model. We expect to incur approximately $28 million to $29 million of pre-tax charges associated with Phase</w:t>
      </w:r>
    </w:p>
    <w:p>
      <w:pPr>
        <w:spacing w:after="0" w:line="2"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charges are expected to include the following:</w:t>
      </w:r>
    </w:p>
    <w:p>
      <w:pPr>
        <w:spacing w:after="0" w:line="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to $16 million of severance and employee related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to $6 million of contract termination costs;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million to $8 million of other expenses.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the actions associated with Phase 2 to be substantially completed by the end of the fourth quarter of fiscal 2026 and expect them to deliver annualized pre-tax cost savings of approximately $25 million to $26 million.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third quarter of fiscal 2026, we incurred $5.1 million of pre-tax costs associated with Phase 2, of which $3.5 million is included in cost of sales and $1.6 million is included within SG&amp;A. During the first nine months of fiscal 2026, we incurred $23.6 million of pre-tax costs associated with Phase 2, of which, $13.4 million is included in cost of sales and $10.2 million is included within SG&amp;A. For the nine months ended November 29, 2025, SG&amp;A charges include a $5.0 million non-cash intangible asset impairment charge in the Architectural Services segment and a $2.6 million non-cash asset write-off and other charges in Corporate and Other.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reflects the pretax impact of Project Fortify for the quarters ended November 29, 2025, and November 30, 2024, respectively.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Corporate and</w:t>
            </w:r>
          </w:p>
        </w:tc>
        <w:tc>
          <w:tcPr>
            <w:tcW w:w="280" w:type="dxa"/>
            <w:vAlign w:val="bottom"/>
          </w:tcPr>
          <w:p>
            <w:pPr>
              <w:spacing w:after="0"/>
              <w:rPr>
                <w:sz w:val="16"/>
                <w:szCs w:val="16"/>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29, 2025</w:t>
            </w:r>
          </w:p>
        </w:tc>
        <w:tc>
          <w:tcPr>
            <w:tcW w:w="1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Termination benefits</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restructuring charges</w:t>
            </w: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48"/>
        </w:trPr>
        <w:tc>
          <w:tcPr>
            <w:tcW w:w="3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 2024</w:t>
            </w: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88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Termination benefits</w:t>
            </w:r>
          </w:p>
        </w:tc>
        <w:tc>
          <w:tcPr>
            <w:tcW w:w="1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30"/>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restructuring charges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48"/>
        </w:trPr>
        <w:tc>
          <w:tcPr>
            <w:tcW w:w="38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6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3880" w:type="dxa"/>
            <w:vAlign w:val="bottom"/>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reflects the pretax impact of Project Fortify for the nine months ended November 29, 2025, and November 30, 2024, respectively.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Corporate and</w:t>
            </w:r>
          </w:p>
        </w:tc>
        <w:tc>
          <w:tcPr>
            <w:tcW w:w="280" w:type="dxa"/>
            <w:vAlign w:val="bottom"/>
          </w:tcPr>
          <w:p>
            <w:pPr>
              <w:spacing w:after="0"/>
              <w:rPr>
                <w:sz w:val="16"/>
                <w:szCs w:val="16"/>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29, 2025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Termination benefits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9,983</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restructuring charges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8,578</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23,554</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 2024</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Termination benefits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restructuring charges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223"/>
        </w:trPr>
        <w:tc>
          <w:tcPr>
            <w:tcW w:w="5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restructuring related accrual balances included within accrued payroll and related benefits and other current liabilities in the consolidated balance sheets. All remaining accrual balances are expected to be paid within fiscal 2026.</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Corporate and</w:t>
            </w:r>
          </w:p>
        </w:tc>
        <w:tc>
          <w:tcPr>
            <w:tcW w:w="280" w:type="dxa"/>
            <w:vAlign w:val="bottom"/>
          </w:tcPr>
          <w:p>
            <w:pPr>
              <w:spacing w:after="0"/>
              <w:rPr>
                <w:sz w:val="16"/>
                <w:szCs w:val="16"/>
                <w:color w:val="auto"/>
              </w:rPr>
            </w:pPr>
          </w:p>
        </w:tc>
        <w:tc>
          <w:tcPr>
            <w:tcW w:w="1020" w:type="dxa"/>
            <w:vAlign w:val="bottom"/>
            <w:vMerge w:val="restart"/>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1, 2025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w w:val="98"/>
              </w:rPr>
              <w:t>1,286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140" w:type="dxa"/>
            <w:vAlign w:val="bottom"/>
          </w:tcPr>
          <w:p>
            <w:pPr>
              <w:spacing w:after="0"/>
              <w:rPr>
                <w:sz w:val="19"/>
                <w:szCs w:val="19"/>
                <w:color w:val="auto"/>
              </w:rPr>
            </w:pPr>
          </w:p>
        </w:tc>
        <w:tc>
          <w:tcPr>
            <w:tcW w:w="1180" w:type="dxa"/>
            <w:vAlign w:val="bottom"/>
          </w:tcPr>
          <w:p>
            <w:pPr>
              <w:jc w:val="center"/>
              <w:ind w:left="533"/>
              <w:spacing w:after="0"/>
              <w:rPr>
                <w:sz w:val="20"/>
                <w:szCs w:val="20"/>
                <w:color w:val="auto"/>
              </w:rPr>
            </w:pPr>
            <w:r>
              <w:rPr>
                <w:rFonts w:ascii="Times New Roman" w:cs="Times New Roman" w:eastAsia="Times New Roman" w:hAnsi="Times New Roman"/>
                <w:sz w:val="18"/>
                <w:szCs w:val="18"/>
                <w:color w:val="auto"/>
                <w:w w:val="98"/>
              </w:rPr>
              <w:t>3,446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493"/>
              <w:spacing w:after="0"/>
              <w:rPr>
                <w:sz w:val="20"/>
                <w:szCs w:val="20"/>
                <w:color w:val="auto"/>
              </w:rPr>
            </w:pPr>
            <w:r>
              <w:rPr>
                <w:rFonts w:ascii="Times New Roman" w:cs="Times New Roman" w:eastAsia="Times New Roman" w:hAnsi="Times New Roman"/>
                <w:sz w:val="18"/>
                <w:szCs w:val="18"/>
                <w:color w:val="auto"/>
                <w:w w:val="98"/>
              </w:rPr>
              <w:t>(1,939)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0" w:type="dxa"/>
            <w:vAlign w:val="bottom"/>
          </w:tcPr>
          <w:p>
            <w:pPr>
              <w:spacing w:after="0"/>
              <w:rPr>
                <w:sz w:val="1"/>
                <w:szCs w:val="1"/>
                <w:color w:val="auto"/>
              </w:rPr>
            </w:pPr>
          </w:p>
        </w:tc>
      </w:tr>
      <w:tr>
        <w:trPr>
          <w:trHeight w:val="22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November 29,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center"/>
              <w:ind w:left="533"/>
              <w:spacing w:after="0"/>
              <w:rPr>
                <w:sz w:val="20"/>
                <w:szCs w:val="20"/>
                <w:color w:val="auto"/>
              </w:rPr>
            </w:pPr>
            <w:r>
              <w:rPr>
                <w:rFonts w:ascii="Times New Roman" w:cs="Times New Roman" w:eastAsia="Times New Roman" w:hAnsi="Times New Roman"/>
                <w:sz w:val="18"/>
                <w:szCs w:val="18"/>
                <w:color w:val="auto"/>
                <w:w w:val="98"/>
              </w:rPr>
              <w:t>2,802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9,394</w:t>
            </w: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charges presented in the roll forward of our restructuring accruals do not include items charged directly to expense as incurred, as those items are not reflected in accrued payroll and related benefits and other current liabilities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600"/>
        <w:spacing w:after="0" w:line="378"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including the section, Management’s Discussion and Analysis of Financial Condition and Results of Operations, contains certain statements that are considered “forward-looking statements” within the meaning of the Private Securities Litigation Reform Act of 1995. These statements reflect our current views with respect to future events and financial performance. Forward-looking statements generally can be identified by the use of forward-looking terminology such as “may,” “believe,” “expect,” “anticipate,” “intend,” “estimate,” “forecast,” “project,” “should,” “will,” “continue” or similar words or expressions. All forecasts and projections in this document are “forward-looking statements,” and are based on management’s current expectations or beliefs of the Company's near-term results, based on current information available pertaining to the Company. From time to time, we may also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we wish to caution investors that any forward-looking statements made by or on behalf of the Company are subject to uncertainties and other factors that could cause actual results to differ materially from such statements. These uncertainties and other risk factors include, but are not limited to, the risks and uncertainties set forth under “Risk Factors” section of our Annual Report on Form 10-K for the year ended March 1, 2025, and in subsequent filings with the U.S. Securities and Exchange Commission, including this Quarterly Report on Form 10-Q.</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included in this report measures of financial performance that are not defined by U.S. GAAP. We believe that these measures provide useful information and include these measures in other communications to investors. For each of these non-GAAP financial measures, we provide a reconciliation of the differences between the non-GAAP measure and the most directly comparable U.S. GAAP measure (see “Reconciliation of Non-GAAP Financial Measures” in this Item 2 below), and an explanation of why we believe the non-GAAP measure provides useful information to management and investors. These non-GAAP measures should be viewed in addition to, and not in lieu of, the comparable U.S. GAAP measure.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leading provider of architectural products and services for enclosing buildings, and high-performance coating products used in applications for preservation, protection and enhanced viewing. Our four reporting segments are: Architectural Metals, Architectural Services, Architectural Glass, and Performance Surfaces.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enterprise strategy is based on the following three key elements:</w:t>
      </w:r>
    </w:p>
    <w:p>
      <w:pPr>
        <w:spacing w:after="0" w:line="113" w:lineRule="exact"/>
        <w:rPr>
          <w:sz w:val="20"/>
          <w:szCs w:val="20"/>
          <w:color w:val="auto"/>
        </w:rPr>
      </w:pPr>
    </w:p>
    <w:p>
      <w:pPr>
        <w:jc w:val="both"/>
        <w:ind w:left="660" w:hanging="328"/>
        <w:spacing w:after="0" w:line="26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Become the economic leader in our target markets. </w:t>
      </w:r>
      <w:r>
        <w:rPr>
          <w:rFonts w:ascii="Times New Roman" w:cs="Times New Roman" w:eastAsia="Times New Roman" w:hAnsi="Times New Roman"/>
          <w:sz w:val="18"/>
          <w:szCs w:val="18"/>
          <w:color w:val="auto"/>
        </w:rPr>
        <w:t>We have developed a deep understanding of our target markets and aligned our businesses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clear go-to-market strategies to drive value for our customers through differentiated product and service offerings. We are focused on operational execution, driving productivity improvements, and maintaining a competitive cost structure, so that we may bring more value to our customers and improve our own profitability.</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Actively manage our portfolio to drive higher margins and returns. </w:t>
      </w:r>
      <w:r>
        <w:rPr>
          <w:rFonts w:ascii="Times New Roman" w:cs="Times New Roman" w:eastAsia="Times New Roman" w:hAnsi="Times New Roman"/>
          <w:sz w:val="18"/>
          <w:szCs w:val="18"/>
          <w:color w:val="auto"/>
        </w:rPr>
        <w:t>We are shifting our business mix toward higher operating margin offerings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order to improve our return on invested capital performance. We accomplish this by allocating resources to grow our top performing businesses, actively addressing underperforming businesses, and investing to add new differentiated product and service offerings to accelerate our growth and increase margins. We continually analyze our current portfolio of products, services, and capabilities to identify the best areas for future profitable growth. We also evaluate inorganic opportunities where we can deploy capital to acquire businesses that will be accretive to our long-term growth rate and operating margins.</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Strengthen our core capabilities. </w:t>
      </w:r>
      <w:r>
        <w:rPr>
          <w:rFonts w:ascii="Times New Roman" w:cs="Times New Roman" w:eastAsia="Times New Roman" w:hAnsi="Times New Roman"/>
          <w:sz w:val="18"/>
          <w:szCs w:val="18"/>
          <w:color w:val="auto"/>
        </w:rPr>
        <w:t>We are shifting from our historical, decentralized operating model to one with center-led functional expertise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enables us to leverage the scale of the enterprise to better support the needs of the business. We have established a Company-wide operating system with common tools and processes based on the foundation of Lean and Continuous Improvement, which we call the “Apogee Management System.” Our strategy is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supported by a robust talent management program and a commitment to strong governance to ensure compliance and drive sustainable performance.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23, 2025, we announced an extension of Project Fortify ("Project Fortify Phase 2" or "Phase 2") to drive further cost efficiencies, primarily in the Architectural Metals and Architectural Services Segments. Phase 2 focuses on further optimizing our operating footprint and aligning resources to enable a more effective operating model. We expect the actions of Phase 2 to incur approximately $28 million to $29 million of pre-tax charges. Phase 2 is expected to deliver annualized pre-tax cost savings of approximately $25 million to $26 million. We expect the actions associated with Phase 2 to be substantially completed by the end of the fourth quarter of fiscal 2026. See Note 14 for additional information.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31, 2025, the Company announced the separation of its Chief Executive Officer. In connection with this separation agreement, the Board of Directors approved the accelerated vesting of certain outstanding unvested restricted stock awards and performance share unit awards previously granted. As a result of this modification, the Company recognized incremental stock-based compensation expense of $2.1 million during the third quarter of fiscal 2026, representing the fair value of the awards that would have otherwise vested over the remaining service periods. This amount is included in SG&amp;A expenses in the Consolidated Results of Operations.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selected financial data should be read in conjunction with the Company’s Form 10-K for the year ended March 1, 2025, and the consolidated financial statements, including the notes to consolidated financial statements, included therein.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various components of operations as year over year U.S. dollar and percentage change, as well as a percentage of net sales.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940" w:type="dxa"/>
            <w:vAlign w:val="bottom"/>
            <w:gridSpan w:val="3"/>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 of Net Sales</w:t>
            </w:r>
          </w:p>
        </w:tc>
      </w:tr>
      <w:tr>
        <w:trPr>
          <w:trHeight w:val="23"/>
        </w:trPr>
        <w:tc>
          <w:tcPr>
            <w:tcW w:w="5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52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r>
      <w:tr>
        <w:trPr>
          <w:trHeight w:val="19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percentages)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November 29, 2025</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00" w:type="dxa"/>
            <w:vAlign w:val="bottom"/>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November 29, 2025</w:t>
            </w:r>
          </w:p>
        </w:tc>
        <w:tc>
          <w:tcPr>
            <w:tcW w:w="14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November 30, 2024</w:t>
            </w:r>
          </w:p>
        </w:tc>
      </w:tr>
      <w:tr>
        <w:trPr>
          <w:trHeight w:val="229"/>
        </w:trPr>
        <w:tc>
          <w:tcPr>
            <w:tcW w:w="51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348,563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341,344</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5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265,571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252,195</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73.9 %</w:t>
            </w:r>
          </w:p>
        </w:tc>
      </w:tr>
      <w:tr>
        <w:trPr>
          <w:trHeight w:val="223"/>
        </w:trPr>
        <w:tc>
          <w:tcPr>
            <w:tcW w:w="5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82,992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89,149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r>
      <w:tr>
        <w:trPr>
          <w:trHeight w:val="229"/>
        </w:trPr>
        <w:tc>
          <w:tcPr>
            <w:tcW w:w="5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58,113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60,520</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17.7 %</w:t>
            </w:r>
          </w:p>
        </w:tc>
      </w:tr>
      <w:tr>
        <w:trPr>
          <w:trHeight w:val="223"/>
        </w:trPr>
        <w:tc>
          <w:tcPr>
            <w:tcW w:w="5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24,879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28,629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2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30"/>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(2,458)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24,110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27,645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30"/>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7,561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6,656</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3"/>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16,549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20,989</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409"/>
        </w:trPr>
        <w:tc>
          <w:tcPr>
            <w:tcW w:w="5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940" w:type="dxa"/>
            <w:vAlign w:val="bottom"/>
            <w:gridSpan w:val="3"/>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 of Net Sales</w:t>
            </w:r>
          </w:p>
        </w:tc>
      </w:tr>
      <w:tr>
        <w:trPr>
          <w:trHeight w:val="23"/>
        </w:trPr>
        <w:tc>
          <w:tcPr>
            <w:tcW w:w="5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gridSpan w:val="5"/>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52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r>
      <w:tr>
        <w:trPr>
          <w:trHeight w:val="19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percentages)</w:t>
            </w: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November 29, 2025</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00" w:type="dxa"/>
            <w:vAlign w:val="bottom"/>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November 29, 2025</w:t>
            </w:r>
          </w:p>
        </w:tc>
        <w:tc>
          <w:tcPr>
            <w:tcW w:w="14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November 30, 2024</w:t>
            </w:r>
          </w:p>
        </w:tc>
      </w:tr>
      <w:tr>
        <w:trPr>
          <w:trHeight w:val="229"/>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1,053,379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1,015,300</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5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812,654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729,975</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71.9 %</w:t>
            </w:r>
          </w:p>
        </w:tc>
      </w:tr>
      <w:tr>
        <w:trPr>
          <w:trHeight w:val="223"/>
        </w:trPr>
        <w:tc>
          <w:tcPr>
            <w:tcW w:w="5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240,725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285,325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28.1 %</w:t>
            </w:r>
          </w:p>
        </w:tc>
      </w:tr>
      <w:tr>
        <w:trPr>
          <w:trHeight w:val="229"/>
        </w:trPr>
        <w:tc>
          <w:tcPr>
            <w:tcW w:w="5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182,026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173,350</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17.1 %</w:t>
            </w:r>
          </w:p>
        </w:tc>
      </w:tr>
      <w:tr>
        <w:trPr>
          <w:trHeight w:val="223"/>
        </w:trPr>
        <w:tc>
          <w:tcPr>
            <w:tcW w:w="5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58,699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111,975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3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11,148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54,467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109,834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2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16,956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27,268</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23"/>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6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37,511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82,566</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Third Quarter Fiscal 2026 to Third Quarter Fiscal 2025</w:t>
      </w:r>
    </w:p>
    <w:p>
      <w:pPr>
        <w:spacing w:after="0" w:line="119" w:lineRule="exact"/>
        <w:rPr>
          <w:sz w:val="20"/>
          <w:szCs w:val="20"/>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sales increased 2.1%, to $348.6 million, driven by $18.4 million of inorganic sales contribution from the acquisition of UW Solutions and favorable product mix, partially offset by lower volume.</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decreased to 23.8%, compared to 26.1%, primarily due to impact of lower volume and price, higher aluminum, restructuring and health insurance costs, partially offset by lower incentive compensation expense.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 as a percent of net sales decreased to 16.7%, compared to 17.7%. The decrease was primarily due to lower acquisition-related costs and lower incentive compensation expense, partially offset by higher amortization expense related to the UW Solutions acquisition and incremental stock-based compensation expense related to CEO transition costs.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declined to $24.9 million from $28.6 million, and operating margin decreased 130 basis points to 7.1%.</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to $46.1 million compared to $45.8 million and adjusted EBITDA margin decreased to 13.2% compared to 13.4%. The decrease in adjusted EBITDA margin was primarily driven by lower volume and price, higher aluminum and health insurance costs, partially offset by lower incentive compensation expense and benefits from cost savings related to Project Fortify Phase 2.</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increased to $3.2 million, primarily due to a higher average debt balance resulting from the acquisition of UW Solutions in November 2024.</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was $2.5 million compared to $0.1 million. The change was due to a $2.1 million gain related to a New Markets Tax Credit recognized in the current period.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as a percentage of earnings before income tax was 31.4%, compared to 24.1%. The increase in the effective tax rate was primarily due to an increase in tax expense for discrete items.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were $16.5 million compared to $21.0 million.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Nine Months Fiscal 2026 to First Nine Months Fiscal 2025</w:t>
      </w:r>
    </w:p>
    <w:p>
      <w:pPr>
        <w:spacing w:after="0" w:line="119" w:lineRule="exact"/>
        <w:rPr>
          <w:sz w:val="20"/>
          <w:szCs w:val="20"/>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sales increased 3.8%, to $1.1 billion, primarily driven by $65.3 million of inorganic sales contribution from the acquisition of UW Solutions. This was partially offset by lower volume and price as a result of lower demand.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decreased to 22.9%, compared to 28.1%, primarily due to lower price and volume, higher aluminum, restructuring and health insurance costs, partially offset by lower incentive compensation expenses.</w:t>
      </w:r>
    </w:p>
    <w:p>
      <w:pPr>
        <w:spacing w:after="0" w:line="53" w:lineRule="exact"/>
        <w:rPr>
          <w:rFonts w:ascii="Times New Roman" w:cs="Times New Roman" w:eastAsia="Times New Roman" w:hAnsi="Times New Roman"/>
          <w:sz w:val="18"/>
          <w:szCs w:val="18"/>
          <w:color w:val="auto"/>
        </w:rPr>
      </w:pPr>
    </w:p>
    <w:p>
      <w:pPr>
        <w:jc w:val="both"/>
        <w:ind w:left="660" w:right="2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as a percent of net sales increased to 17.3%, compared to 17.1%. The increase was primarily due to increased restructuring charges related to Project Fortify Phase 2, increased amortization expense associated with the UW Solutions transaction and incremental stock-based compensation expense related to CEO transition costs, partially offset by lower transaction-related costs and lower incentive compensation expense.</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declined to $58.7 million from $112.0 million, and operating margin decreased 540 basis points to 5.6%.</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decreased to $124.9 million compared to $151.5 million and adjusted EBITDA margin decreased to 11.9% compared to 14.9%. The decrease in adjusted EBITDA margin was primarily driven by lower price and volume, higher material and health insurance costs, partially offset by lower incentive compensation expense and cost savings as a result of Project Fortify Phase 2.</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 increased to $11.1 million, primarily due to a higher average debt balance resulting from the acquisition of UW Solutions.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was $6.9 million compared to $0.5 million. The change was driven by a $6.7 million gain from New Markets Tax Credits.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as a percentage of earnings before income tax was 31.1%, compared to 24.8% for the same period last year. The increase in the effective tax rate was primarily due to increases in tax expense for discrete items.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were $37.5 million compared to $82.6 million.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Analysis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four operating segments which are also reportable segments. Each of our four segments have distinct economic characteristics, including products and services provided, production processes and varying ranges in performance and results.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the performance of our segments based on segment net sales and adjusted EBITDA. Our CEO is our CODM. The CODM uses these measurements to assess segment performance and make decisions about the allocation of operating and capital resources by analyzing recent results, trends, and variances of each segment in relation to forecasts and historical performance.</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segment measurements provided to, and evaluated by, the CODM are described in Note 12 of our unaudited condensed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sales, adjusted EBITDA and adjusted EBITDA margin by segment and the consolidated total.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8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gridSpan w:val="2"/>
          </w:tcPr>
          <w:p>
            <w:pPr>
              <w:spacing w:after="0"/>
              <w:rPr>
                <w:sz w:val="2"/>
                <w:szCs w:val="2"/>
                <w:color w:val="auto"/>
              </w:rPr>
            </w:pPr>
          </w:p>
        </w:tc>
        <w:tc>
          <w:tcPr>
            <w:tcW w:w="1420" w:type="dxa"/>
            <w:vAlign w:val="bottom"/>
            <w:gridSpan w:val="3"/>
          </w:tcPr>
          <w:p>
            <w:pPr>
              <w:spacing w:after="0"/>
              <w:rPr>
                <w:sz w:val="2"/>
                <w:szCs w:val="2"/>
                <w:color w:val="auto"/>
              </w:rPr>
            </w:pPr>
          </w:p>
        </w:tc>
        <w:tc>
          <w:tcPr>
            <w:tcW w:w="13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40" w:type="dxa"/>
            <w:vAlign w:val="bottom"/>
            <w:gridSpan w:val="3"/>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percentages)</w:t>
            </w:r>
          </w:p>
        </w:tc>
        <w:tc>
          <w:tcPr>
            <w:tcW w:w="142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29, 2025</w:t>
            </w:r>
          </w:p>
        </w:tc>
        <w:tc>
          <w:tcPr>
            <w:tcW w:w="1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6"/>
                <w:szCs w:val="16"/>
                <w:color w:val="auto"/>
              </w:rPr>
            </w:pPr>
          </w:p>
        </w:tc>
        <w:tc>
          <w:tcPr>
            <w:tcW w:w="144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29, 2025</w:t>
            </w:r>
          </w:p>
        </w:tc>
        <w:tc>
          <w:tcPr>
            <w:tcW w:w="1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9"/>
        </w:trPr>
        <w:tc>
          <w:tcPr>
            <w:tcW w:w="3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net sales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Architectural Metals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124,433</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138,039</w:t>
            </w:r>
          </w:p>
        </w:tc>
        <w:tc>
          <w:tcPr>
            <w:tcW w:w="1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393,991</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412,561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Architectural Services</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105,166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104,921</w:t>
            </w:r>
          </w:p>
        </w:tc>
        <w:tc>
          <w:tcPr>
            <w:tcW w:w="10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312,161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301,966</w:t>
            </w:r>
          </w:p>
        </w:tc>
        <w:tc>
          <w:tcPr>
            <w:tcW w:w="1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Architectural Glass</w:t>
            </w:r>
          </w:p>
        </w:tc>
        <w:tc>
          <w:tcPr>
            <w:tcW w:w="3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70,852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70,236</w:t>
            </w:r>
          </w:p>
        </w:tc>
        <w:tc>
          <w:tcPr>
            <w:tcW w:w="1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216,306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247,040</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(12.4)%</w:t>
            </w:r>
          </w:p>
        </w:tc>
        <w:tc>
          <w:tcPr>
            <w:tcW w:w="0" w:type="dxa"/>
            <w:vAlign w:val="bottom"/>
          </w:tcPr>
          <w:p>
            <w:pPr>
              <w:spacing w:after="0"/>
              <w:rPr>
                <w:sz w:val="1"/>
                <w:szCs w:val="1"/>
                <w:color w:val="auto"/>
              </w:rPr>
            </w:pPr>
          </w:p>
        </w:tc>
      </w:tr>
      <w:tr>
        <w:trPr>
          <w:trHeight w:val="229"/>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Surfaces</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52,980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33,196</w:t>
            </w:r>
          </w:p>
        </w:tc>
        <w:tc>
          <w:tcPr>
            <w:tcW w:w="10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59.6%</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143,620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74,232</w:t>
            </w:r>
          </w:p>
        </w:tc>
        <w:tc>
          <w:tcPr>
            <w:tcW w:w="1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93.5%</w:t>
            </w:r>
          </w:p>
        </w:tc>
        <w:tc>
          <w:tcPr>
            <w:tcW w:w="0" w:type="dxa"/>
            <w:vAlign w:val="bottom"/>
          </w:tcPr>
          <w:p>
            <w:pPr>
              <w:spacing w:after="0"/>
              <w:rPr>
                <w:sz w:val="1"/>
                <w:szCs w:val="1"/>
                <w:color w:val="auto"/>
              </w:rPr>
            </w:pPr>
          </w:p>
        </w:tc>
      </w:tr>
      <w:tr>
        <w:trPr>
          <w:trHeight w:val="223"/>
        </w:trPr>
        <w:tc>
          <w:tcPr>
            <w:tcW w:w="3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segment sales</w:t>
            </w:r>
          </w:p>
        </w:tc>
        <w:tc>
          <w:tcPr>
            <w:tcW w:w="3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353,431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346,392</w:t>
            </w:r>
          </w:p>
        </w:tc>
        <w:tc>
          <w:tcPr>
            <w:tcW w:w="1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1,066,078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1,035,799</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3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(5,048)</w:t>
            </w:r>
          </w:p>
        </w:tc>
        <w:tc>
          <w:tcPr>
            <w:tcW w:w="10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(12,699)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(20,499)</w:t>
            </w:r>
          </w:p>
        </w:tc>
        <w:tc>
          <w:tcPr>
            <w:tcW w:w="1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(38.1)%</w:t>
            </w:r>
          </w:p>
        </w:tc>
        <w:tc>
          <w:tcPr>
            <w:tcW w:w="0" w:type="dxa"/>
            <w:vAlign w:val="bottom"/>
          </w:tcPr>
          <w:p>
            <w:pPr>
              <w:spacing w:after="0"/>
              <w:rPr>
                <w:sz w:val="1"/>
                <w:szCs w:val="1"/>
                <w:color w:val="auto"/>
              </w:rPr>
            </w:pPr>
          </w:p>
        </w:tc>
      </w:tr>
      <w:tr>
        <w:trPr>
          <w:trHeight w:val="223"/>
        </w:trPr>
        <w:tc>
          <w:tcPr>
            <w:tcW w:w="3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348,563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341,344</w:t>
            </w:r>
          </w:p>
        </w:tc>
        <w:tc>
          <w:tcPr>
            <w:tcW w:w="1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1,053,379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1,015,300</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Architectural Metals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16,750</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17,483</w:t>
            </w:r>
          </w:p>
        </w:tc>
        <w:tc>
          <w:tcPr>
            <w:tcW w:w="1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46,946</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63,551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(26.1)%</w:t>
            </w:r>
          </w:p>
        </w:tc>
        <w:tc>
          <w:tcPr>
            <w:tcW w:w="0" w:type="dxa"/>
            <w:vAlign w:val="bottom"/>
          </w:tcPr>
          <w:p>
            <w:pPr>
              <w:spacing w:after="0"/>
              <w:rPr>
                <w:sz w:val="1"/>
                <w:szCs w:val="1"/>
                <w:color w:val="auto"/>
              </w:rPr>
            </w:pPr>
          </w:p>
        </w:tc>
      </w:tr>
      <w:tr>
        <w:trPr>
          <w:trHeight w:val="229"/>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Architectural Services</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9,994</w:t>
            </w:r>
          </w:p>
        </w:tc>
        <w:tc>
          <w:tcPr>
            <w:tcW w:w="10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21,279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23,911</w:t>
            </w:r>
          </w:p>
        </w:tc>
        <w:tc>
          <w:tcPr>
            <w:tcW w:w="1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(11.0)%</w:t>
            </w:r>
          </w:p>
        </w:tc>
        <w:tc>
          <w:tcPr>
            <w:tcW w:w="0" w:type="dxa"/>
            <w:vAlign w:val="bottom"/>
          </w:tcPr>
          <w:p>
            <w:pPr>
              <w:spacing w:after="0"/>
              <w:rPr>
                <w:sz w:val="1"/>
                <w:szCs w:val="1"/>
                <w:color w:val="auto"/>
              </w:rPr>
            </w:pPr>
          </w:p>
        </w:tc>
      </w:tr>
      <w:tr>
        <w:trPr>
          <w:trHeight w:val="230"/>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Architectural Glass</w:t>
            </w:r>
          </w:p>
        </w:tc>
        <w:tc>
          <w:tcPr>
            <w:tcW w:w="3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13,180</w:t>
            </w:r>
          </w:p>
        </w:tc>
        <w:tc>
          <w:tcPr>
            <w:tcW w:w="1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36,598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57,551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(36.4)%</w:t>
            </w:r>
          </w:p>
        </w:tc>
        <w:tc>
          <w:tcPr>
            <w:tcW w:w="0" w:type="dxa"/>
            <w:vAlign w:val="bottom"/>
          </w:tcPr>
          <w:p>
            <w:pPr>
              <w:spacing w:after="0"/>
              <w:rPr>
                <w:sz w:val="1"/>
                <w:szCs w:val="1"/>
                <w:color w:val="auto"/>
              </w:rPr>
            </w:pPr>
          </w:p>
        </w:tc>
      </w:tr>
      <w:tr>
        <w:trPr>
          <w:trHeight w:val="229"/>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Surfaces</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11,921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7,828</w:t>
            </w:r>
          </w:p>
        </w:tc>
        <w:tc>
          <w:tcPr>
            <w:tcW w:w="10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52.3%</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18,053</w:t>
            </w:r>
          </w:p>
        </w:tc>
        <w:tc>
          <w:tcPr>
            <w:tcW w:w="1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72.3%</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(2,682)</w:t>
            </w:r>
          </w:p>
        </w:tc>
        <w:tc>
          <w:tcPr>
            <w:tcW w:w="106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59.3%</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(11,040)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(11,519)</w:t>
            </w:r>
          </w:p>
        </w:tc>
        <w:tc>
          <w:tcPr>
            <w:tcW w:w="104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46,131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45,803</w:t>
            </w:r>
          </w:p>
        </w:tc>
        <w:tc>
          <w:tcPr>
            <w:tcW w:w="10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124,883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151,547</w:t>
            </w:r>
          </w:p>
        </w:tc>
        <w:tc>
          <w:tcPr>
            <w:tcW w:w="1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(17.6)%</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adjusted EBITDA margins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3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Architectural Metals</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Architectural Services</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Architectural Glass</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Surfaces</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N/M</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Adjusted EBITDA margin</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N/M Indicates calculation not meaningful.</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impact that different items had on our net sales for the third quarter fiscal 2026. All net sales for the third quarter of fiscal 2025 were organic.</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November 29, 2025</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3"/>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Architectural Glass</w:t>
            </w:r>
          </w:p>
        </w:tc>
        <w:tc>
          <w:tcPr>
            <w:tcW w:w="100" w:type="dxa"/>
            <w:vAlign w:val="bottom"/>
            <w:gridSpan w:val="2"/>
            <w:vMerge w:val="restart"/>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3"/>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Intersegment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restart"/>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percentages)</w:t>
            </w:r>
          </w:p>
        </w:tc>
        <w:tc>
          <w:tcPr>
            <w:tcW w:w="12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80" w:type="dxa"/>
            <w:vAlign w:val="bottom"/>
            <w:tcBorders>
              <w:bottom w:val="single" w:sz="8" w:color="CCEEFF"/>
            </w:tcBorders>
            <w:gridSpan w:val="2"/>
          </w:tcPr>
          <w:p>
            <w:pPr>
              <w:spacing w:after="0"/>
              <w:rPr>
                <w:sz w:val="18"/>
                <w:szCs w:val="18"/>
                <w:color w:val="auto"/>
              </w:rPr>
            </w:pPr>
          </w:p>
        </w:tc>
        <w:tc>
          <w:tcPr>
            <w:tcW w:w="1400" w:type="dxa"/>
            <w:vAlign w:val="bottom"/>
            <w:tcBorders>
              <w:bottom w:val="single" w:sz="8" w:color="auto"/>
            </w:tcBorders>
            <w:gridSpan w:val="3"/>
            <w:vMerge w:val="continue"/>
          </w:tcPr>
          <w:p>
            <w:pPr>
              <w:spacing w:after="0"/>
              <w:rPr>
                <w:sz w:val="18"/>
                <w:szCs w:val="18"/>
                <w:color w:val="auto"/>
              </w:rPr>
            </w:pPr>
          </w:p>
        </w:tc>
        <w:tc>
          <w:tcPr>
            <w:tcW w:w="100" w:type="dxa"/>
            <w:vAlign w:val="bottom"/>
            <w:tcBorders>
              <w:bottom w:val="single" w:sz="8" w:color="CCEEFF"/>
            </w:tcBorders>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Surfaces</w:t>
            </w:r>
          </w:p>
        </w:tc>
        <w:tc>
          <w:tcPr>
            <w:tcW w:w="10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8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2025 net sales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138,039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104,921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70,236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33,196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(5,048)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341,344</w:t>
            </w:r>
          </w:p>
        </w:tc>
        <w:tc>
          <w:tcPr>
            <w:tcW w:w="0" w:type="dxa"/>
            <w:vAlign w:val="bottom"/>
          </w:tcPr>
          <w:p>
            <w:pPr>
              <w:spacing w:after="0"/>
              <w:rPr>
                <w:sz w:val="1"/>
                <w:szCs w:val="1"/>
                <w:color w:val="auto"/>
              </w:rPr>
            </w:pPr>
          </w:p>
        </w:tc>
      </w:tr>
      <w:tr>
        <w:trPr>
          <w:trHeight w:val="229"/>
        </w:trPr>
        <w:tc>
          <w:tcPr>
            <w:tcW w:w="2440" w:type="dxa"/>
            <w:vAlign w:val="bottom"/>
            <w:gridSpan w:val="3"/>
          </w:tcPr>
          <w:p>
            <w:pPr>
              <w:ind w:left="240"/>
              <w:spacing w:after="0" w:line="230" w:lineRule="exact"/>
              <w:rPr>
                <w:sz w:val="20"/>
                <w:szCs w:val="20"/>
                <w:color w:val="auto"/>
              </w:rPr>
            </w:pPr>
            <w:r>
              <w:rPr>
                <w:rFonts w:ascii="Times New Roman" w:cs="Times New Roman" w:eastAsia="Times New Roman" w:hAnsi="Times New Roman"/>
                <w:sz w:val="16"/>
                <w:szCs w:val="16"/>
                <w:color w:val="auto"/>
              </w:rPr>
              <w:t xml:space="preserve">Organic business </w:t>
            </w:r>
            <w:r>
              <w:rPr>
                <w:rFonts w:ascii="Times New Roman" w:cs="Times New Roman" w:eastAsia="Times New Roman" w:hAnsi="Times New Roman"/>
                <w:sz w:val="21"/>
                <w:szCs w:val="21"/>
                <w:color w:val="auto"/>
                <w:vertAlign w:val="superscript"/>
              </w:rPr>
              <w:t>(1)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(13,606)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1,417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(11,148)</w:t>
            </w:r>
          </w:p>
        </w:tc>
        <w:tc>
          <w:tcPr>
            <w:tcW w:w="0" w:type="dxa"/>
            <w:vAlign w:val="bottom"/>
          </w:tcPr>
          <w:p>
            <w:pPr>
              <w:spacing w:after="0"/>
              <w:rPr>
                <w:sz w:val="1"/>
                <w:szCs w:val="1"/>
                <w:color w:val="auto"/>
              </w:rPr>
            </w:pPr>
          </w:p>
        </w:tc>
      </w:tr>
      <w:tr>
        <w:trPr>
          <w:trHeight w:val="230"/>
        </w:trPr>
        <w:tc>
          <w:tcPr>
            <w:tcW w:w="2440" w:type="dxa"/>
            <w:vAlign w:val="bottom"/>
            <w:gridSpan w:val="3"/>
            <w:shd w:val="clear" w:color="auto" w:fill="CCEEFF"/>
          </w:tcPr>
          <w:p>
            <w:pPr>
              <w:ind w:left="240"/>
              <w:spacing w:after="0" w:line="230" w:lineRule="exact"/>
              <w:rPr>
                <w:sz w:val="20"/>
                <w:szCs w:val="20"/>
                <w:color w:val="auto"/>
              </w:rPr>
            </w:pPr>
            <w:r>
              <w:rPr>
                <w:rFonts w:ascii="Times New Roman" w:cs="Times New Roman" w:eastAsia="Times New Roman" w:hAnsi="Times New Roman"/>
                <w:sz w:val="16"/>
                <w:szCs w:val="16"/>
                <w:color w:val="auto"/>
              </w:rPr>
              <w:t xml:space="preserve">Acquisition </w:t>
            </w:r>
            <w:r>
              <w:rPr>
                <w:rFonts w:ascii="Times New Roman" w:cs="Times New Roman" w:eastAsia="Times New Roman" w:hAnsi="Times New Roman"/>
                <w:sz w:val="21"/>
                <w:szCs w:val="21"/>
                <w:color w:val="auto"/>
                <w:vertAlign w:val="superscript"/>
              </w:rPr>
              <w:t>(2)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18,367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18,367</w:t>
            </w:r>
          </w:p>
        </w:tc>
        <w:tc>
          <w:tcPr>
            <w:tcW w:w="0" w:type="dxa"/>
            <w:vAlign w:val="bottom"/>
          </w:tcPr>
          <w:p>
            <w:pPr>
              <w:spacing w:after="0"/>
              <w:rPr>
                <w:sz w:val="1"/>
                <w:szCs w:val="1"/>
                <w:color w:val="auto"/>
              </w:rPr>
            </w:pPr>
          </w:p>
        </w:tc>
      </w:tr>
      <w:tr>
        <w:trPr>
          <w:trHeight w:val="223"/>
        </w:trPr>
        <w:tc>
          <w:tcPr>
            <w:tcW w:w="2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Fiscal 2026 net sales</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124,433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105,166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70,852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52,980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(4,868)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348,563</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net sales growth (decline)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0"/>
        </w:trPr>
        <w:tc>
          <w:tcPr>
            <w:tcW w:w="2440" w:type="dxa"/>
            <w:vAlign w:val="bottom"/>
            <w:gridSpan w:val="3"/>
            <w:shd w:val="clear" w:color="auto" w:fill="CCEEFF"/>
          </w:tcPr>
          <w:p>
            <w:pPr>
              <w:ind w:left="240"/>
              <w:spacing w:after="0" w:line="230" w:lineRule="exact"/>
              <w:rPr>
                <w:sz w:val="20"/>
                <w:szCs w:val="20"/>
                <w:color w:val="auto"/>
              </w:rPr>
            </w:pPr>
            <w:r>
              <w:rPr>
                <w:rFonts w:ascii="Times New Roman" w:cs="Times New Roman" w:eastAsia="Times New Roman" w:hAnsi="Times New Roman"/>
                <w:sz w:val="16"/>
                <w:szCs w:val="16"/>
                <w:color w:val="auto"/>
              </w:rPr>
              <w:t xml:space="preserve">Organic business </w:t>
            </w:r>
            <w:r>
              <w:rPr>
                <w:rFonts w:ascii="Times New Roman" w:cs="Times New Roman" w:eastAsia="Times New Roman" w:hAnsi="Times New Roman"/>
                <w:sz w:val="21"/>
                <w:szCs w:val="21"/>
                <w:color w:val="auto"/>
                <w:vertAlign w:val="superscript"/>
              </w:rPr>
              <w:t>(1)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81"/>
        </w:trPr>
        <w:tc>
          <w:tcPr>
            <w:tcW w:w="24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 xml:space="preserve">Acquisition </w:t>
            </w:r>
            <w:r>
              <w:rPr>
                <w:rFonts w:ascii="Times New Roman" w:cs="Times New Roman" w:eastAsia="Times New Roman" w:hAnsi="Times New Roman"/>
                <w:sz w:val="21"/>
                <w:szCs w:val="21"/>
                <w:color w:val="auto"/>
                <w:vertAlign w:val="superscript"/>
              </w:rPr>
              <w:t>(2)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378"/>
        </w:trPr>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November 29, 2025</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40" w:type="dxa"/>
            <w:vAlign w:val="bottom"/>
          </w:tcPr>
          <w:p>
            <w:pPr>
              <w:spacing w:after="0"/>
              <w:rPr>
                <w:sz w:val="13"/>
                <w:szCs w:val="13"/>
                <w:color w:val="auto"/>
              </w:rPr>
            </w:pP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Architectural Glass</w:t>
            </w:r>
          </w:p>
        </w:tc>
        <w:tc>
          <w:tcPr>
            <w:tcW w:w="8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3"/>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Intersegment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restart"/>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percentages)</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Surfaces</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2025 net sales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412,561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301,966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247,040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74,232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(20,499)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1,015,300</w:t>
            </w:r>
          </w:p>
        </w:tc>
        <w:tc>
          <w:tcPr>
            <w:tcW w:w="0" w:type="dxa"/>
            <w:vAlign w:val="bottom"/>
          </w:tcPr>
          <w:p>
            <w:pPr>
              <w:spacing w:after="0"/>
              <w:rPr>
                <w:sz w:val="1"/>
                <w:szCs w:val="1"/>
                <w:color w:val="auto"/>
              </w:rPr>
            </w:pPr>
          </w:p>
        </w:tc>
      </w:tr>
      <w:tr>
        <w:trPr>
          <w:trHeight w:val="230"/>
        </w:trPr>
        <w:tc>
          <w:tcPr>
            <w:tcW w:w="2440" w:type="dxa"/>
            <w:vAlign w:val="bottom"/>
            <w:gridSpan w:val="3"/>
          </w:tcPr>
          <w:p>
            <w:pPr>
              <w:ind w:left="240"/>
              <w:spacing w:after="0" w:line="230" w:lineRule="exact"/>
              <w:rPr>
                <w:sz w:val="20"/>
                <w:szCs w:val="20"/>
                <w:color w:val="auto"/>
              </w:rPr>
            </w:pPr>
            <w:r>
              <w:rPr>
                <w:rFonts w:ascii="Times New Roman" w:cs="Times New Roman" w:eastAsia="Times New Roman" w:hAnsi="Times New Roman"/>
                <w:sz w:val="16"/>
                <w:szCs w:val="16"/>
                <w:color w:val="auto"/>
              </w:rPr>
              <w:t xml:space="preserve">Organic business </w:t>
            </w:r>
            <w:r>
              <w:rPr>
                <w:rFonts w:ascii="Times New Roman" w:cs="Times New Roman" w:eastAsia="Times New Roman" w:hAnsi="Times New Roman"/>
                <w:sz w:val="21"/>
                <w:szCs w:val="21"/>
                <w:color w:val="auto"/>
                <w:vertAlign w:val="superscript"/>
              </w:rPr>
              <w:t>(1)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(18,570)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10,195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(30,734)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4,117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7,800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(27,192)</w:t>
            </w:r>
          </w:p>
        </w:tc>
        <w:tc>
          <w:tcPr>
            <w:tcW w:w="0" w:type="dxa"/>
            <w:vAlign w:val="bottom"/>
          </w:tcPr>
          <w:p>
            <w:pPr>
              <w:spacing w:after="0"/>
              <w:rPr>
                <w:sz w:val="1"/>
                <w:szCs w:val="1"/>
                <w:color w:val="auto"/>
              </w:rPr>
            </w:pPr>
          </w:p>
        </w:tc>
      </w:tr>
      <w:tr>
        <w:trPr>
          <w:trHeight w:val="230"/>
        </w:trPr>
        <w:tc>
          <w:tcPr>
            <w:tcW w:w="2440" w:type="dxa"/>
            <w:vAlign w:val="bottom"/>
            <w:gridSpan w:val="3"/>
            <w:shd w:val="clear" w:color="auto" w:fill="CCEEFF"/>
          </w:tcPr>
          <w:p>
            <w:pPr>
              <w:ind w:left="240"/>
              <w:spacing w:after="0" w:line="230" w:lineRule="exact"/>
              <w:rPr>
                <w:sz w:val="20"/>
                <w:szCs w:val="20"/>
                <w:color w:val="auto"/>
              </w:rPr>
            </w:pPr>
            <w:r>
              <w:rPr>
                <w:rFonts w:ascii="Times New Roman" w:cs="Times New Roman" w:eastAsia="Times New Roman" w:hAnsi="Times New Roman"/>
                <w:sz w:val="16"/>
                <w:szCs w:val="16"/>
                <w:color w:val="auto"/>
              </w:rPr>
              <w:t xml:space="preserve">Acquisition </w:t>
            </w:r>
            <w:r>
              <w:rPr>
                <w:rFonts w:ascii="Times New Roman" w:cs="Times New Roman" w:eastAsia="Times New Roman" w:hAnsi="Times New Roman"/>
                <w:sz w:val="21"/>
                <w:szCs w:val="21"/>
                <w:color w:val="auto"/>
                <w:vertAlign w:val="superscript"/>
              </w:rPr>
              <w:t>(2)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65,271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65,271</w:t>
            </w:r>
          </w:p>
        </w:tc>
        <w:tc>
          <w:tcPr>
            <w:tcW w:w="0" w:type="dxa"/>
            <w:vAlign w:val="bottom"/>
          </w:tcPr>
          <w:p>
            <w:pPr>
              <w:spacing w:after="0"/>
              <w:rPr>
                <w:sz w:val="1"/>
                <w:szCs w:val="1"/>
                <w:color w:val="auto"/>
              </w:rPr>
            </w:pPr>
          </w:p>
        </w:tc>
      </w:tr>
      <w:tr>
        <w:trPr>
          <w:trHeight w:val="223"/>
        </w:trPr>
        <w:tc>
          <w:tcPr>
            <w:tcW w:w="2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Fiscal 2026 net sales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393,991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312,161</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216,306</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143,620</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(12,699)</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1,053,379</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net sales growth (decline)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93.5 %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30"/>
        </w:trPr>
        <w:tc>
          <w:tcPr>
            <w:tcW w:w="2440" w:type="dxa"/>
            <w:vAlign w:val="bottom"/>
            <w:gridSpan w:val="3"/>
            <w:shd w:val="clear" w:color="auto" w:fill="CCEEFF"/>
          </w:tcPr>
          <w:p>
            <w:pPr>
              <w:ind w:left="240"/>
              <w:spacing w:after="0" w:line="230" w:lineRule="exact"/>
              <w:rPr>
                <w:sz w:val="20"/>
                <w:szCs w:val="20"/>
                <w:color w:val="auto"/>
              </w:rPr>
            </w:pPr>
            <w:r>
              <w:rPr>
                <w:rFonts w:ascii="Times New Roman" w:cs="Times New Roman" w:eastAsia="Times New Roman" w:hAnsi="Times New Roman"/>
                <w:sz w:val="16"/>
                <w:szCs w:val="16"/>
                <w:color w:val="auto"/>
              </w:rPr>
              <w:t xml:space="preserve">Organic business </w:t>
            </w:r>
            <w:r>
              <w:rPr>
                <w:rFonts w:ascii="Times New Roman" w:cs="Times New Roman" w:eastAsia="Times New Roman" w:hAnsi="Times New Roman"/>
                <w:sz w:val="21"/>
                <w:szCs w:val="21"/>
                <w:color w:val="auto"/>
                <w:vertAlign w:val="superscript"/>
              </w:rPr>
              <w:t>(1)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94"/>
        </w:trPr>
        <w:tc>
          <w:tcPr>
            <w:tcW w:w="24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 xml:space="preserve">Acquisition </w:t>
            </w:r>
            <w:r>
              <w:rPr>
                <w:rFonts w:ascii="Times New Roman" w:cs="Times New Roman" w:eastAsia="Times New Roman" w:hAnsi="Times New Roman"/>
                <w:sz w:val="21"/>
                <w:szCs w:val="21"/>
                <w:color w:val="auto"/>
                <w:vertAlign w:val="superscript"/>
              </w:rPr>
              <w:t>(2)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87.9 %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0" w:right="20" w:hanging="346"/>
        <w:spacing w:after="0" w:line="251"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Organic business includes net sales associated with acquired product lines or businesses that occur after the first twelve months from the date the product line or business is acquired and net sales from internally developed product lines or businesses.</w:t>
      </w:r>
    </w:p>
    <w:p>
      <w:pPr>
        <w:ind w:left="520" w:hanging="346"/>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4, 2024, we completed the acquisition of UW Solutions. For additional information, see Note 13 to the accompanying consolidated financial statements.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Metals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Third Quarter Fiscal 2026 to Third Quarter Fiscal 2025</w:t>
      </w:r>
    </w:p>
    <w:p>
      <w:pPr>
        <w:spacing w:after="0" w:line="119"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$124.4 million, compared to $138.0 million, primarily due to lower volume, partially offset by favorable price and product mix.</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$16.8 million, or 13.5% of net sales, compared to $17.5 million, or 12.7% of net sales. The higher adjusted EBITDA margin was primarily driven by favorable productivity including cost savings related to Project Fortify Phase 2, lower incentive compensation expense, and favorable price and product mix, partially offset by lower volume.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Nine Months of Fiscal 2026 to First Nine Months of Fiscal 2025</w:t>
      </w:r>
    </w:p>
    <w:p>
      <w:pPr>
        <w:spacing w:after="0" w:line="119"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$394.0 million, compared to $412.6 million, primarily reflecting lower volume, partially offset by increased price.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$46.9 million, or 11.9% of net sales, compared to $63.6 million, or 15.4% of net sales. The decline in adjusted EBITDA margin was primarily driven by lower volume, higher aluminum costs and less favorable product mix, partially offset by cost savings from Project Fortify Phase 2 and lower incentive compensation costs.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Services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Third Quarter Fiscal 2026 to Third Quarter Fiscal 2025</w:t>
      </w:r>
    </w:p>
    <w:p>
      <w:pPr>
        <w:spacing w:after="0" w:line="119"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$105.2 million, compared to $104.9 million, primarily due to increased volume.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to $10.2 million, or 9.7% of net sales, compared to $10.0 million, or 9.5% of net sales. The increase in adjusted EBITDA margin was primarily driven by lower incentive compensation expense, partially offset by unfavorable project mix.</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Nine Months of Fiscal 2026 to First Nine Months of Fiscal 2025</w:t>
      </w:r>
    </w:p>
    <w:p>
      <w:pPr>
        <w:spacing w:after="0" w:line="119"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$312.2 million, compared to $302.0 million, primarily due to increased volume, partially offset by unfavorable project mix.</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decreased to $21.3 million, or 6.8% of net sales, compared to $23.9 million, or 7.9% of net sales. The decrease in adjusted EBITDA margin was primarily driven by the impact of higher tariff costs and unfavorable project mix, partially offset by lower incentive compensation costs.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Cumulative catch-up adjustments on our longer-term contracts for changes in estimates were as follows:</w:t>
      </w:r>
    </w:p>
    <w:p>
      <w:pPr>
        <w:spacing w:after="0" w:line="162"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72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29, 2025</w:t>
            </w: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November 30, 2024</w:t>
            </w:r>
          </w:p>
        </w:tc>
      </w:tr>
      <w:tr>
        <w:trPr>
          <w:trHeight w:val="229"/>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favorable adjustments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9,739</w:t>
            </w:r>
          </w:p>
        </w:tc>
      </w:tr>
      <w:tr>
        <w:trPr>
          <w:trHeight w:val="23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unfavorable adjustments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(3,938)</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adjustments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w:t>
            </w:r>
          </w:p>
        </w:tc>
      </w:tr>
      <w:tr>
        <w:trPr>
          <w:trHeight w:val="429"/>
        </w:trPr>
        <w:tc>
          <w:tcPr>
            <w:tcW w:w="7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83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93"/>
        </w:trPr>
        <w:tc>
          <w:tcPr>
            <w:tcW w:w="72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6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29, 2025</w:t>
            </w:r>
          </w:p>
        </w:tc>
        <w:tc>
          <w:tcPr>
            <w:tcW w:w="160" w:type="dxa"/>
            <w:vAlign w:val="bottom"/>
          </w:tcPr>
          <w:p>
            <w:pPr>
              <w:spacing w:after="0"/>
              <w:rPr>
                <w:sz w:val="16"/>
                <w:szCs w:val="16"/>
                <w:color w:val="auto"/>
              </w:rPr>
            </w:pPr>
          </w:p>
        </w:tc>
        <w:tc>
          <w:tcPr>
            <w:tcW w:w="14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November 30, 2024</w:t>
            </w:r>
          </w:p>
        </w:tc>
      </w:tr>
      <w:tr>
        <w:trPr>
          <w:trHeight w:val="229"/>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favorable adjustments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20,111</w:t>
            </w:r>
          </w:p>
        </w:tc>
      </w:tr>
      <w:tr>
        <w:trPr>
          <w:trHeight w:val="23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unfavorable adjustments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(7,206)</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adjustments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Glass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Third Quarter Fiscal 2026 to Third Quarter Fiscal 2025</w:t>
      </w:r>
    </w:p>
    <w:p>
      <w:pPr>
        <w:spacing w:after="0" w:line="119" w:lineRule="exact"/>
        <w:rPr>
          <w:sz w:val="20"/>
          <w:szCs w:val="20"/>
          <w:color w:val="auto"/>
        </w:rPr>
      </w:pPr>
    </w:p>
    <w:p>
      <w:pPr>
        <w:ind w:left="660" w:right="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$70.9 million, compared to $70.2 million, primarily due to increased volume and favorable mix, partially offset by lower price driven by lower end-market demand.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decreased to $11.5 million, or 16.3% of net sales, compared to $13.2 million, or 18.8% of net sales. The decrease in adjusted EBITDA margin was primarily driven by lower price and higher material costs, partially offset by higher volume, favorable mix, and lower short-term incentive compensation expense.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Nine Months of Fiscal 2026 to First Nine Months of Fiscal 2025</w:t>
      </w:r>
    </w:p>
    <w:p>
      <w:pPr>
        <w:spacing w:after="0" w:line="119"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$216.3 million compared to $247.0 million, primarily reflecting lower volume and price due to lower end-market demand.</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decreased to $36.6 million, or 16.9% of net sales, compared to $57.6 million, or 23.3% of net sales. The decline in adjusted EBITDA margin was primarily driven by lower volume and price, partially offset by lower incentive compensation expense.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Surfaces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Third Quarter Fiscal 2026 to Third Quarter Fiscal 2025</w:t>
      </w:r>
    </w:p>
    <w:p>
      <w:pPr>
        <w:spacing w:after="0" w:line="119" w:lineRule="exact"/>
        <w:rPr>
          <w:sz w:val="20"/>
          <w:szCs w:val="20"/>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$53.0 million, compared to $33.2 million, which included $18.4 million of inorganic sales contribution from the acquisition of UW Solutions and organic growth of 4.3%.</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$11.9 million, or 22.5% of net sales, compared to $7.8 million, or 23.6% of net sales. The decrease in adjusted EBITDA margin was primarily driven by the dilutive impact of lower adjusted EBITDA margin from UW Solutions and unfavorable productivity, partially offset by favorable product mix and price.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Nine Months of Fiscal 2026 to First Nine Months of Fiscal 2025</w:t>
      </w:r>
    </w:p>
    <w:p>
      <w:pPr>
        <w:spacing w:after="0" w:line="119" w:lineRule="exact"/>
        <w:rPr>
          <w:sz w:val="20"/>
          <w:szCs w:val="20"/>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$143.6 million, compared to $74.2 million, which included $65.3 million of inorganic sales contribution from the acquisition of UW Solutions and organic growth of 5.5%.</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$31.1 million, or 21.7% of net sales, compared to $18.1 million, or 24.3% of net sales. The decrease in adjusted EBITDA margin was primarily driven by the dilutive effect of lower adjusted EBITDA margin from the UW Solutions acquisition, partially offset by favorable pricing.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Third Quarter Fiscal 2026 to Third Quarter Fiscal 2025</w:t>
      </w:r>
    </w:p>
    <w:p>
      <w:pPr>
        <w:spacing w:after="0" w:line="119"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adjusted EBITDA expense was $4.3 million, compared to $2.7 million, primarily driven by higher health insurance costs.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Nine Months of Fiscal 2026 to First Nine Months of Fiscal 2025</w:t>
      </w:r>
    </w:p>
    <w:p>
      <w:pPr>
        <w:spacing w:after="0" w:line="119" w:lineRule="exact"/>
        <w:rPr>
          <w:sz w:val="20"/>
          <w:szCs w:val="20"/>
          <w:color w:val="auto"/>
        </w:rPr>
      </w:pPr>
    </w:p>
    <w:p>
      <w:pPr>
        <w:ind w:left="660" w:right="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adjusted EBITDA expense was $11.0 million, compared to $11.5 million primarily due to lower incentive compensation expense, partially offset by higher health insurance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Backlog represents the dollar amount of signed contracts or firm orders, generally as a result of a competitive bidding process, which may be expected to be recognized as revenue in the future. Backlog is most meaningful for the Architectural Services Segment due to the longer-term nature of their projects. Backlog is not a term defined under U.S. GAAP and is not a measure of contract profitability. We view backlog as one indicator of future revenues, particularly in our longer-lead time businesses. In addition to backlog, we have a substantial amount of projects with short lead times that book-and-bill within the same reporting period and are not included in backlog.</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November 29, 2025, segment backlog in the Architectural Services segment was approximately $774.7 million, compared to approximately $742.2 million at the end of the third quarter of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net earnings, adjusted diluted earnings per share (adjusted diluted EPS), adjusted EBITDA, and adjusted EBITDA margin are supplemental non-GAAP financial measures provided by the Company to assess performance on a more comparable basis from period-to-period by excluding amounts that management does not consider part of core operating results. Management uses these non-GAAP measures as noted below:</w:t>
      </w:r>
    </w:p>
    <w:p>
      <w:pPr>
        <w:spacing w:after="0" w:line="68" w:lineRule="exact"/>
        <w:rPr>
          <w:sz w:val="20"/>
          <w:szCs w:val="20"/>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adjusted net earnings, and adjusted diluted EPS to provide meaningful supplemental information about our operating performance by excluding amounts that we do not consider to be part of core operating results to enhance comparability of results from period to period.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0" w:lineRule="auto"/>
        <w:tabs>
          <w:tab w:leader="none" w:pos="655"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Adjusted EBITDA represents adjusted net earnings before interest, taxes, depreciation, and amortization, and adjusted EBITDA margin is adjusted EBITDA as a percentage of net sales. We use adjusted EBITDA and adjusted EBITDA margin to assess segment performance and make decisions about the allocation of operating and capital resources by analyzing recent results, trends, and variances of each segment in relation to forecasts and historical performance.</w:t>
      </w:r>
    </w:p>
    <w:p>
      <w:pPr>
        <w:spacing w:after="0" w:line="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non-GAAP measures should be viewed in addition to, and not as an alternative to, the reported financial results of the Company prepared in accordance with U.S. GAAP. Other companies may calculate these measures differently, thereby limiting the usefulness of the measures for comparison with other companies.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earnings (loss)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Interest expense (income), net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Income tax expense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EBITDA</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Acquisition-related costs </w:t>
      </w:r>
      <w:r>
        <w:rPr>
          <w:rFonts w:ascii="Times New Roman" w:cs="Times New Roman" w:eastAsia="Times New Roman" w:hAnsi="Times New Roman"/>
          <w:sz w:val="21"/>
          <w:szCs w:val="21"/>
          <w:color w:val="auto"/>
          <w:vertAlign w:val="superscript"/>
        </w:rPr>
        <w:t>(1)</w:t>
      </w:r>
    </w:p>
    <w:p>
      <w:pPr>
        <w:ind w:left="20"/>
        <w:spacing w:after="0" w:line="214" w:lineRule="auto"/>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1"/>
          <w:szCs w:val="21"/>
          <w:color w:val="auto"/>
          <w:vertAlign w:val="superscript"/>
        </w:rPr>
        <w:t>(2)</w:t>
      </w:r>
    </w:p>
    <w:p>
      <w:pPr>
        <w:ind w:left="20"/>
        <w:spacing w:after="0" w:line="215" w:lineRule="auto"/>
        <w:rPr>
          <w:sz w:val="20"/>
          <w:szCs w:val="20"/>
          <w:color w:val="auto"/>
        </w:rPr>
      </w:pPr>
      <w:r>
        <w:rPr>
          <w:rFonts w:ascii="Times New Roman" w:cs="Times New Roman" w:eastAsia="Times New Roman" w:hAnsi="Times New Roman"/>
          <w:sz w:val="16"/>
          <w:szCs w:val="16"/>
          <w:color w:val="auto"/>
        </w:rPr>
        <w:t xml:space="preserve">CEO transition costs </w:t>
      </w:r>
      <w:r>
        <w:rPr>
          <w:rFonts w:ascii="Times New Roman" w:cs="Times New Roman" w:eastAsia="Times New Roman" w:hAnsi="Times New Roman"/>
          <w:sz w:val="21"/>
          <w:szCs w:val="21"/>
          <w:color w:val="auto"/>
          <w:vertAlign w:val="superscript"/>
        </w:rPr>
        <w:t>(3)</w:t>
      </w:r>
    </w:p>
    <w:p>
      <w:pPr>
        <w:ind w:left="20"/>
        <w:spacing w:after="0"/>
        <w:rPr>
          <w:sz w:val="20"/>
          <w:szCs w:val="20"/>
          <w:color w:val="auto"/>
        </w:rPr>
      </w:pPr>
      <w:r>
        <w:rPr>
          <w:rFonts w:ascii="Times New Roman" w:cs="Times New Roman" w:eastAsia="Times New Roman" w:hAnsi="Times New Roman"/>
          <w:sz w:val="16"/>
          <w:szCs w:val="16"/>
          <w:color w:val="auto"/>
        </w:rPr>
        <w:t xml:space="preserve">NMTC settlement gain </w:t>
      </w:r>
      <w:r>
        <w:rPr>
          <w:rFonts w:ascii="Times New Roman" w:cs="Times New Roman" w:eastAsia="Times New Roman" w:hAnsi="Times New Roman"/>
          <w:sz w:val="21"/>
          <w:szCs w:val="21"/>
          <w:color w:val="auto"/>
          <w:vertAlign w:val="superscript"/>
        </w:rPr>
        <w:t>(4)</w:t>
      </w:r>
    </w:p>
    <w:p>
      <w:pPr>
        <w:spacing w:after="0" w:line="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Adjusted EBITDA</w:t>
      </w:r>
    </w:p>
    <w:p>
      <w:pPr>
        <w:spacing w:after="0" w:line="230" w:lineRule="exact"/>
        <w:rPr>
          <w:sz w:val="20"/>
          <w:szCs w:val="20"/>
          <w:color w:val="auto"/>
        </w:rPr>
      </w:pPr>
    </w:p>
    <w:p>
      <w:pPr>
        <w:ind w:left="20" w:right="260"/>
        <w:spacing w:after="0" w:line="316" w:lineRule="auto"/>
        <w:rPr>
          <w:sz w:val="20"/>
          <w:szCs w:val="20"/>
          <w:color w:val="auto"/>
        </w:rPr>
      </w:pPr>
      <w:r>
        <w:rPr>
          <w:rFonts w:ascii="Times New Roman" w:cs="Times New Roman" w:eastAsia="Times New Roman" w:hAnsi="Times New Roman"/>
          <w:sz w:val="16"/>
          <w:szCs w:val="16"/>
          <w:color w:val="auto"/>
        </w:rPr>
        <w:t>EBITDA margin Adjusted EBITDA margin</w:t>
      </w: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earnings (loss)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Interest expense (income), net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Income tax expense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EBITDA</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Acquisition-related costs </w:t>
      </w:r>
      <w:r>
        <w:rPr>
          <w:rFonts w:ascii="Times New Roman" w:cs="Times New Roman" w:eastAsia="Times New Roman" w:hAnsi="Times New Roman"/>
          <w:sz w:val="21"/>
          <w:szCs w:val="21"/>
          <w:color w:val="auto"/>
          <w:vertAlign w:val="superscript"/>
        </w:rPr>
        <w:t>(1)</w:t>
      </w:r>
    </w:p>
    <w:p>
      <w:pPr>
        <w:ind w:left="20"/>
        <w:spacing w:after="0"/>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1"/>
          <w:szCs w:val="21"/>
          <w:color w:val="auto"/>
          <w:vertAlign w:val="superscript"/>
        </w:rPr>
        <w:t>(2)</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Adjusted EBITDA</w:t>
      </w:r>
    </w:p>
    <w:p>
      <w:pPr>
        <w:spacing w:after="0" w:line="230" w:lineRule="exact"/>
        <w:rPr>
          <w:sz w:val="20"/>
          <w:szCs w:val="20"/>
          <w:color w:val="auto"/>
        </w:rPr>
      </w:pPr>
    </w:p>
    <w:p>
      <w:pPr>
        <w:ind w:left="20" w:right="260"/>
        <w:spacing w:after="0" w:line="316" w:lineRule="auto"/>
        <w:rPr>
          <w:sz w:val="20"/>
          <w:szCs w:val="20"/>
          <w:color w:val="auto"/>
        </w:rPr>
      </w:pPr>
      <w:r>
        <w:rPr>
          <w:rFonts w:ascii="Times New Roman" w:cs="Times New Roman" w:eastAsia="Times New Roman" w:hAnsi="Times New Roman"/>
          <w:sz w:val="16"/>
          <w:szCs w:val="16"/>
          <w:color w:val="auto"/>
        </w:rPr>
        <w:t>EBITDA margin Adjusted EBITDA margin</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jc w:val="center"/>
        <w:ind w:right="2580"/>
        <w:spacing w:after="0"/>
        <w:rPr>
          <w:sz w:val="20"/>
          <w:szCs w:val="20"/>
          <w:color w:val="auto"/>
        </w:rPr>
      </w:pPr>
      <w:r>
        <w:rPr>
          <w:rFonts w:ascii="Times New Roman" w:cs="Times New Roman" w:eastAsia="Times New Roman" w:hAnsi="Times New Roman"/>
          <w:sz w:val="16"/>
          <w:szCs w:val="16"/>
          <w:b w:val="1"/>
          <w:bCs w:val="1"/>
          <w:color w:val="auto"/>
        </w:rPr>
        <w:t>Apogee Enterprises, Inc.</w:t>
      </w:r>
    </w:p>
    <w:p>
      <w:pPr>
        <w:spacing w:after="0" w:line="32" w:lineRule="exact"/>
        <w:rPr>
          <w:sz w:val="20"/>
          <w:szCs w:val="20"/>
          <w:color w:val="auto"/>
        </w:rPr>
      </w:pPr>
    </w:p>
    <w:p>
      <w:pPr>
        <w:jc w:val="center"/>
        <w:ind w:right="2580"/>
        <w:spacing w:after="0"/>
        <w:rPr>
          <w:sz w:val="20"/>
          <w:szCs w:val="20"/>
          <w:color w:val="auto"/>
        </w:rPr>
      </w:pPr>
      <w:r>
        <w:rPr>
          <w:rFonts w:ascii="Times New Roman" w:cs="Times New Roman" w:eastAsia="Times New Roman" w:hAnsi="Times New Roman"/>
          <w:sz w:val="16"/>
          <w:szCs w:val="16"/>
          <w:b w:val="1"/>
          <w:bCs w:val="1"/>
          <w:color w:val="auto"/>
        </w:rPr>
        <w:t>Reconciliation of Non-GAAP Financial Measures</w:t>
      </w:r>
    </w:p>
    <w:p>
      <w:pPr>
        <w:spacing w:after="0" w:line="32" w:lineRule="exact"/>
        <w:rPr>
          <w:sz w:val="20"/>
          <w:szCs w:val="20"/>
          <w:color w:val="auto"/>
        </w:rPr>
      </w:pPr>
    </w:p>
    <w:p>
      <w:pPr>
        <w:jc w:val="center"/>
        <w:ind w:right="2580"/>
        <w:spacing w:after="0"/>
        <w:rPr>
          <w:sz w:val="20"/>
          <w:szCs w:val="20"/>
          <w:color w:val="auto"/>
        </w:rPr>
      </w:pPr>
      <w:r>
        <w:rPr>
          <w:rFonts w:ascii="Times New Roman" w:cs="Times New Roman" w:eastAsia="Times New Roman" w:hAnsi="Times New Roman"/>
          <w:sz w:val="16"/>
          <w:szCs w:val="16"/>
          <w:b w:val="1"/>
          <w:bCs w:val="1"/>
          <w:color w:val="auto"/>
        </w:rPr>
        <w:t>Adjusted EBITDA and Adjusted EBITDA Margin</w:t>
      </w:r>
    </w:p>
    <w:p>
      <w:pPr>
        <w:spacing w:after="0" w:line="34" w:lineRule="exact"/>
        <w:rPr>
          <w:sz w:val="20"/>
          <w:szCs w:val="20"/>
          <w:color w:val="auto"/>
        </w:rPr>
      </w:pPr>
    </w:p>
    <w:p>
      <w:pPr>
        <w:jc w:val="center"/>
        <w:ind w:right="2580"/>
        <w:spacing w:after="0"/>
        <w:rPr>
          <w:sz w:val="20"/>
          <w:szCs w:val="20"/>
          <w:color w:val="auto"/>
        </w:rPr>
      </w:pPr>
      <w:r>
        <w:rPr>
          <w:rFonts w:ascii="Times New Roman" w:cs="Times New Roman" w:eastAsia="Times New Roman" w:hAnsi="Times New Roman"/>
          <w:sz w:val="16"/>
          <w:szCs w:val="16"/>
          <w:color w:val="auto"/>
        </w:rPr>
        <w:t>(Unaudited)</w:t>
      </w:r>
    </w:p>
    <w:p>
      <w:pPr>
        <w:spacing w:after="0" w:line="26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Three Months Ended November 29,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center"/>
              <w:ind w:right="160"/>
              <w:spacing w:after="0" w:line="161" w:lineRule="exact"/>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right"/>
              <w:ind w:right="240"/>
              <w:spacing w:after="0" w:line="161"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Architectural Glass</w:t>
            </w: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right"/>
              <w:ind w:right="240"/>
              <w:spacing w:after="0" w:line="161"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tcPr>
          <w:p>
            <w:pPr>
              <w:jc w:val="right"/>
              <w:ind w:right="100"/>
              <w:spacing w:after="0" w:line="161"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Metals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Borders>
              <w:bottom w:val="single" w:sz="8" w:color="auto"/>
            </w:tcBorders>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Surfaces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12,264</w:t>
            </w:r>
          </w:p>
        </w:tc>
        <w:tc>
          <w:tcPr>
            <w:tcW w:w="20" w:type="dxa"/>
            <w:vAlign w:val="bottom"/>
          </w:tcPr>
          <w:p>
            <w:pPr>
              <w:spacing w:after="0"/>
              <w:rPr>
                <w:sz w:val="16"/>
                <w:szCs w:val="16"/>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67"/>
              <w:spacing w:after="0"/>
              <w:rPr>
                <w:sz w:val="20"/>
                <w:szCs w:val="20"/>
                <w:color w:val="auto"/>
              </w:rPr>
            </w:pPr>
            <w:r>
              <w:rPr>
                <w:rFonts w:ascii="Times New Roman" w:cs="Times New Roman" w:eastAsia="Times New Roman" w:hAnsi="Times New Roman"/>
                <w:sz w:val="14"/>
                <w:szCs w:val="14"/>
                <w:color w:val="auto"/>
              </w:rPr>
              <w:t>7,614</w:t>
            </w:r>
          </w:p>
        </w:tc>
        <w:tc>
          <w:tcPr>
            <w:tcW w:w="40" w:type="dxa"/>
            <w:vAlign w:val="bottom"/>
          </w:tcPr>
          <w:p>
            <w:pPr>
              <w:spacing w:after="0"/>
              <w:rPr>
                <w:sz w:val="16"/>
                <w:szCs w:val="16"/>
                <w:color w:val="auto"/>
              </w:rPr>
            </w:pPr>
          </w:p>
        </w:tc>
        <w:tc>
          <w:tcPr>
            <w:tcW w:w="5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8,248</w:t>
            </w:r>
          </w:p>
        </w:tc>
        <w:tc>
          <w:tcPr>
            <w:tcW w:w="2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7,749</w:t>
            </w:r>
          </w:p>
        </w:tc>
        <w:tc>
          <w:tcPr>
            <w:tcW w:w="40" w:type="dxa"/>
            <w:vAlign w:val="bottom"/>
          </w:tcPr>
          <w:p>
            <w:pPr>
              <w:spacing w:after="0"/>
              <w:rPr>
                <w:sz w:val="16"/>
                <w:szCs w:val="16"/>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(19,326)</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16,549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2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430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(89)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3,227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7,561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2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3,662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67"/>
              <w:spacing w:after="0"/>
              <w:rPr>
                <w:sz w:val="20"/>
                <w:szCs w:val="20"/>
                <w:color w:val="auto"/>
              </w:rPr>
            </w:pPr>
            <w:r>
              <w:rPr>
                <w:rFonts w:ascii="Times New Roman" w:cs="Times New Roman" w:eastAsia="Times New Roman" w:hAnsi="Times New Roman"/>
                <w:sz w:val="14"/>
                <w:szCs w:val="14"/>
                <w:color w:val="auto"/>
              </w:rPr>
              <w:t>809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3,379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3,913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12,516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12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16,356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67"/>
              <w:spacing w:after="0"/>
              <w:rPr>
                <w:sz w:val="20"/>
                <w:szCs w:val="20"/>
                <w:color w:val="auto"/>
              </w:rPr>
            </w:pPr>
            <w:r>
              <w:rPr>
                <w:rFonts w:ascii="Times New Roman" w:cs="Times New Roman" w:eastAsia="Times New Roman" w:hAnsi="Times New Roman"/>
                <w:sz w:val="14"/>
                <w:szCs w:val="14"/>
                <w:color w:val="auto"/>
              </w:rPr>
              <w:t>8,334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11,534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11,662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(8,033)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39,853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6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259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315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2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2,537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67"/>
              <w:spacing w:after="0"/>
              <w:rPr>
                <w:sz w:val="20"/>
                <w:szCs w:val="20"/>
                <w:color w:val="auto"/>
              </w:rPr>
            </w:pPr>
            <w:r>
              <w:rPr>
                <w:rFonts w:ascii="Times New Roman" w:cs="Times New Roman" w:eastAsia="Times New Roman" w:hAnsi="Times New Roman"/>
                <w:sz w:val="14"/>
                <w:szCs w:val="14"/>
                <w:color w:val="auto"/>
              </w:rPr>
              <w:t>1,864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5,080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3,026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220" w:type="dxa"/>
            <w:vAlign w:val="bottom"/>
          </w:tcPr>
          <w:p>
            <w:pPr>
              <w:jc w:val="right"/>
              <w:ind w:right="67"/>
              <w:spacing w:after="0"/>
              <w:rPr>
                <w:sz w:val="20"/>
                <w:szCs w:val="20"/>
                <w:color w:val="auto"/>
              </w:rPr>
            </w:pPr>
            <w:r>
              <w:rPr>
                <w:rFonts w:ascii="Times New Roman" w:cs="Times New Roman" w:eastAsia="Times New Roman" w:hAnsi="Times New Roman"/>
                <w:sz w:val="14"/>
                <w:szCs w:val="14"/>
                <w:color w:val="auto"/>
              </w:rPr>
              <w:t>(2,143)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(2,143)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4"/>
                <w:szCs w:val="14"/>
                <w:color w:val="auto"/>
              </w:rPr>
              <w:t>16,750</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4"/>
                <w:szCs w:val="14"/>
                <w:color w:val="auto"/>
              </w:rPr>
              <w:t>10,198</w:t>
            </w: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11,534</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4"/>
                <w:szCs w:val="14"/>
                <w:color w:val="auto"/>
              </w:rPr>
              <w:t>11,921</w:t>
            </w: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(4,272)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4"/>
                <w:szCs w:val="14"/>
                <w:color w:val="auto"/>
              </w:rPr>
              <w:t>46,131</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5"/>
        </w:trPr>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7.9 %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16.3 %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22.0 %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N/M</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11.4 %</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9.7 %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16.3 %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22.5 %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N/M</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13.2 %</w:t>
            </w:r>
          </w:p>
        </w:tc>
        <w:tc>
          <w:tcPr>
            <w:tcW w:w="0" w:type="dxa"/>
            <w:vAlign w:val="bottom"/>
          </w:tcPr>
          <w:p>
            <w:pPr>
              <w:spacing w:after="0"/>
              <w:rPr>
                <w:sz w:val="1"/>
                <w:szCs w:val="1"/>
                <w:color w:val="auto"/>
              </w:rPr>
            </w:pPr>
          </w:p>
        </w:tc>
      </w:tr>
      <w:tr>
        <w:trPr>
          <w:trHeight w:val="453"/>
        </w:trPr>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10"/>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Three Months Ended November 30, 2024</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60" w:type="dxa"/>
            <w:vAlign w:val="bottom"/>
          </w:tcPr>
          <w:p>
            <w:pPr>
              <w:spacing w:after="0"/>
              <w:rPr>
                <w:sz w:val="13"/>
                <w:szCs w:val="13"/>
                <w:color w:val="auto"/>
              </w:rPr>
            </w:pPr>
          </w:p>
        </w:tc>
        <w:tc>
          <w:tcPr>
            <w:tcW w:w="124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60" w:type="dxa"/>
            <w:vAlign w:val="bottom"/>
          </w:tcPr>
          <w:p>
            <w:pPr>
              <w:spacing w:after="0"/>
              <w:rPr>
                <w:sz w:val="13"/>
                <w:szCs w:val="13"/>
                <w:color w:val="auto"/>
              </w:rPr>
            </w:pP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Architectural Glass</w:t>
            </w:r>
          </w:p>
        </w:tc>
        <w:tc>
          <w:tcPr>
            <w:tcW w:w="2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tcPr>
          <w:p>
            <w:pPr>
              <w:jc w:val="right"/>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vMerge w:val="restart"/>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Borders>
              <w:bottom w:val="single" w:sz="8" w:color="auto"/>
            </w:tcBorders>
            <w:gridSpan w:val="3"/>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Surfaces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12,146</w:t>
            </w:r>
          </w:p>
        </w:tc>
        <w:tc>
          <w:tcPr>
            <w:tcW w:w="20" w:type="dxa"/>
            <w:vAlign w:val="bottom"/>
          </w:tcPr>
          <w:p>
            <w:pPr>
              <w:spacing w:after="0"/>
              <w:rPr>
                <w:sz w:val="16"/>
                <w:szCs w:val="16"/>
                <w:color w:val="auto"/>
              </w:rPr>
            </w:pPr>
          </w:p>
        </w:tc>
        <w:tc>
          <w:tcPr>
            <w:tcW w:w="26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9,734</w:t>
            </w:r>
          </w:p>
        </w:tc>
        <w:tc>
          <w:tcPr>
            <w:tcW w:w="40" w:type="dxa"/>
            <w:vAlign w:val="bottom"/>
          </w:tcPr>
          <w:p>
            <w:pPr>
              <w:spacing w:after="0"/>
              <w:rPr>
                <w:sz w:val="16"/>
                <w:szCs w:val="16"/>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10,115</w:t>
            </w:r>
          </w:p>
        </w:tc>
        <w:tc>
          <w:tcPr>
            <w:tcW w:w="20" w:type="dxa"/>
            <w:vAlign w:val="bottom"/>
          </w:tcPr>
          <w:p>
            <w:pPr>
              <w:spacing w:after="0"/>
              <w:rPr>
                <w:sz w:val="16"/>
                <w:szCs w:val="16"/>
                <w:color w:val="auto"/>
              </w:rPr>
            </w:pPr>
          </w:p>
        </w:tc>
        <w:tc>
          <w:tcPr>
            <w:tcW w:w="24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4,841</w:t>
            </w:r>
          </w:p>
        </w:tc>
        <w:tc>
          <w:tcPr>
            <w:tcW w:w="40" w:type="dxa"/>
            <w:vAlign w:val="bottom"/>
          </w:tcPr>
          <w:p>
            <w:pPr>
              <w:spacing w:after="0"/>
              <w:rPr>
                <w:sz w:val="16"/>
                <w:szCs w:val="16"/>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(15,847)</w:t>
            </w:r>
          </w:p>
        </w:tc>
        <w:tc>
          <w:tcPr>
            <w:tcW w:w="40" w:type="dxa"/>
            <w:vAlign w:val="bottom"/>
          </w:tcPr>
          <w:p>
            <w:pPr>
              <w:spacing w:after="0"/>
              <w:rPr>
                <w:sz w:val="16"/>
                <w:szCs w:val="16"/>
                <w:color w:val="auto"/>
              </w:rPr>
            </w:pPr>
          </w:p>
        </w:tc>
        <w:tc>
          <w:tcPr>
            <w:tcW w:w="24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20,989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22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563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67"/>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1,044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6,656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22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3,932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981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3,069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2,461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11,134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122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16,641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10,711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13,180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7,302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39,823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6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526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5,068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22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842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67"/>
              <w:spacing w:after="0"/>
              <w:rPr>
                <w:sz w:val="20"/>
                <w:szCs w:val="20"/>
                <w:color w:val="auto"/>
              </w:rPr>
            </w:pPr>
            <w:r>
              <w:rPr>
                <w:rFonts w:ascii="Times New Roman" w:cs="Times New Roman" w:eastAsia="Times New Roman" w:hAnsi="Times New Roman"/>
                <w:sz w:val="14"/>
                <w:szCs w:val="14"/>
                <w:color w:val="auto"/>
              </w:rPr>
              <w:t>(717)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gridSpan w:val="3"/>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3"/>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gridSpan w:val="3"/>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4"/>
                <w:szCs w:val="14"/>
                <w:color w:val="auto"/>
              </w:rPr>
              <w:t>17,483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4"/>
                <w:szCs w:val="14"/>
                <w:color w:val="auto"/>
              </w:rPr>
              <w:t>9,994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13,180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4"/>
                <w:szCs w:val="14"/>
                <w:color w:val="auto"/>
              </w:rPr>
              <w:t>7,828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45,803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5"/>
        </w:trPr>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N/M</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N/M</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-3567430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-3293745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-3018790</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-2744470</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-2315845</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-3850640</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-1235710</wp:posOffset>
            </wp:positionV>
            <wp:extent cx="711517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-961390</wp:posOffset>
            </wp:positionV>
            <wp:extent cx="711517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-687705</wp:posOffset>
            </wp:positionV>
            <wp:extent cx="711517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-395605</wp:posOffset>
            </wp:positionV>
            <wp:extent cx="711517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-121920</wp:posOffset>
            </wp:positionV>
            <wp:extent cx="711517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-1518920</wp:posOffset>
            </wp:positionV>
            <wp:extent cx="7115175"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75" w:lineRule="exact"/>
        <w:rPr>
          <w:sz w:val="20"/>
          <w:szCs w:val="20"/>
          <w:color w:val="auto"/>
        </w:rPr>
      </w:pPr>
    </w:p>
    <w:p>
      <w:pPr>
        <w:sectPr>
          <w:pgSz w:w="11900" w:h="16838" w:orient="portrait"/>
          <w:cols w:equalWidth="0" w:num="2">
            <w:col w:w="2000" w:space="580"/>
            <w:col w:w="8660"/>
          </w:cols>
          <w:pgMar w:left="320" w:top="229" w:right="339" w:bottom="1440" w:gutter="0" w:footer="0" w:header="0"/>
          <w:type w:val="continuous"/>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Nine Months Ended November 29, 2025</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3"/>
                <w:szCs w:val="13"/>
                <w:color w:val="auto"/>
              </w:rPr>
            </w:pPr>
          </w:p>
        </w:tc>
        <w:tc>
          <w:tcPr>
            <w:tcW w:w="1240" w:type="dxa"/>
            <w:vAlign w:val="bottom"/>
          </w:tcPr>
          <w:p>
            <w:pPr>
              <w:jc w:val="right"/>
              <w:ind w:right="167"/>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80" w:type="dxa"/>
            <w:vAlign w:val="bottom"/>
          </w:tcPr>
          <w:p>
            <w:pPr>
              <w:spacing w:after="0"/>
              <w:rPr>
                <w:sz w:val="13"/>
                <w:szCs w:val="13"/>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Architectural Glass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100" w:type="dxa"/>
            <w:vAlign w:val="bottom"/>
          </w:tcPr>
          <w:p>
            <w:pPr>
              <w:spacing w:after="0"/>
              <w:rPr>
                <w:sz w:val="13"/>
                <w:szCs w:val="13"/>
                <w:color w:val="auto"/>
              </w:rPr>
            </w:pPr>
          </w:p>
        </w:tc>
        <w:tc>
          <w:tcPr>
            <w:tcW w:w="12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180" w:type="dxa"/>
            <w:vAlign w:val="bottom"/>
          </w:tcPr>
          <w:p>
            <w:pPr>
              <w:spacing w:after="0"/>
              <w:rPr>
                <w:sz w:val="13"/>
                <w:szCs w:val="13"/>
                <w:color w:val="auto"/>
              </w:rPr>
            </w:pPr>
          </w:p>
        </w:tc>
        <w:tc>
          <w:tcPr>
            <w:tcW w:w="1220" w:type="dxa"/>
            <w:vAlign w:val="bottom"/>
            <w:vMerge w:val="restart"/>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Metals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Surfaces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(loss)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4"/>
                <w:szCs w:val="14"/>
                <w:color w:val="auto"/>
              </w:rPr>
              <w:t>36,806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4"/>
                <w:szCs w:val="14"/>
                <w:color w:val="auto"/>
              </w:rPr>
              <w:t>2,855</w:t>
            </w: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26,880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4"/>
                <w:szCs w:val="14"/>
                <w:color w:val="auto"/>
              </w:rPr>
              <w:t>18,126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(47,156)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4"/>
                <w:szCs w:val="14"/>
                <w:color w:val="auto"/>
              </w:rPr>
              <w:t>37,511</w:t>
            </w:r>
          </w:p>
        </w:tc>
        <w:tc>
          <w:tcPr>
            <w:tcW w:w="0" w:type="dxa"/>
            <w:vAlign w:val="bottom"/>
          </w:tcPr>
          <w:p>
            <w:pPr>
              <w:spacing w:after="0"/>
              <w:rPr>
                <w:sz w:val="1"/>
                <w:szCs w:val="1"/>
                <w:color w:val="auto"/>
              </w:rPr>
            </w:pPr>
          </w:p>
        </w:tc>
      </w:tr>
      <w:tr>
        <w:trPr>
          <w:trHeight w:val="213"/>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160" w:type="dxa"/>
            <w:vAlign w:val="bottom"/>
          </w:tcPr>
          <w:p>
            <w:pPr>
              <w:spacing w:after="0"/>
              <w:rPr>
                <w:sz w:val="18"/>
                <w:szCs w:val="18"/>
                <w:color w:val="auto"/>
              </w:rPr>
            </w:pPr>
          </w:p>
        </w:tc>
        <w:tc>
          <w:tcPr>
            <w:tcW w:w="124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1,331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11,148</w:t>
            </w:r>
          </w:p>
        </w:tc>
        <w:tc>
          <w:tcPr>
            <w:tcW w:w="0" w:type="dxa"/>
            <w:vAlign w:val="bottom"/>
          </w:tcPr>
          <w:p>
            <w:pPr>
              <w:spacing w:after="0"/>
              <w:rPr>
                <w:sz w:val="1"/>
                <w:szCs w:val="1"/>
                <w:color w:val="auto"/>
              </w:rPr>
            </w:pPr>
          </w:p>
        </w:tc>
      </w:tr>
      <w:tr>
        <w:trPr>
          <w:trHeight w:val="21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4"/>
                <w:szCs w:val="14"/>
                <w:color w:val="auto"/>
              </w:rPr>
              <w:t>16,956</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4"/>
                <w:szCs w:val="14"/>
                <w:color w:val="auto"/>
              </w:rPr>
              <w:t>11,229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4"/>
                <w:szCs w:val="14"/>
                <w:color w:val="auto"/>
              </w:rPr>
              <w:t>2,789</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9,970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11,251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4"/>
                <w:szCs w:val="14"/>
                <w:color w:val="auto"/>
              </w:rPr>
              <w:t>37,456</w:t>
            </w:r>
          </w:p>
        </w:tc>
        <w:tc>
          <w:tcPr>
            <w:tcW w:w="0" w:type="dxa"/>
            <w:vAlign w:val="bottom"/>
          </w:tcPr>
          <w:p>
            <w:pPr>
              <w:spacing w:after="0"/>
              <w:rPr>
                <w:sz w:val="1"/>
                <w:szCs w:val="1"/>
                <w:color w:val="auto"/>
              </w:rPr>
            </w:pPr>
          </w:p>
        </w:tc>
      </w:tr>
      <w:tr>
        <w:trPr>
          <w:trHeight w:val="199"/>
        </w:trPr>
        <w:tc>
          <w:tcPr>
            <w:tcW w:w="2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EBITDA</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4"/>
                <w:szCs w:val="14"/>
                <w:color w:val="auto"/>
              </w:rPr>
              <w:t>49,323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4"/>
                <w:szCs w:val="14"/>
                <w:color w:val="auto"/>
              </w:rPr>
              <w:t>5,409</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36,598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4"/>
                <w:szCs w:val="14"/>
                <w:color w:val="auto"/>
              </w:rPr>
              <w:t>29,377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4"/>
                <w:szCs w:val="14"/>
                <w:color w:val="auto"/>
              </w:rPr>
              <w:t>103,071</w:t>
            </w:r>
          </w:p>
        </w:tc>
        <w:tc>
          <w:tcPr>
            <w:tcW w:w="0" w:type="dxa"/>
            <w:vAlign w:val="bottom"/>
          </w:tcPr>
          <w:p>
            <w:pPr>
              <w:spacing w:after="0"/>
              <w:rPr>
                <w:sz w:val="1"/>
                <w:szCs w:val="1"/>
                <w:color w:val="auto"/>
              </w:rPr>
            </w:pPr>
          </w:p>
        </w:tc>
      </w:tr>
      <w:tr>
        <w:trPr>
          <w:trHeight w:val="216"/>
        </w:trPr>
        <w:tc>
          <w:tcPr>
            <w:tcW w:w="25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Acquisition-related costs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124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12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1,723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1,972</w:t>
            </w: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1"/>
                <w:szCs w:val="21"/>
                <w:color w:val="auto"/>
                <w:vertAlign w:val="superscript"/>
              </w:rPr>
              <w:t>(2)</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4"/>
                <w:szCs w:val="14"/>
                <w:color w:val="auto"/>
              </w:rPr>
              <w:t>4,363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4"/>
                <w:szCs w:val="14"/>
                <w:color w:val="auto"/>
              </w:rPr>
              <w:t>15,870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4"/>
                <w:szCs w:val="14"/>
                <w:color w:val="auto"/>
              </w:rPr>
              <w:t>23,554</w:t>
            </w:r>
          </w:p>
        </w:tc>
        <w:tc>
          <w:tcPr>
            <w:tcW w:w="0" w:type="dxa"/>
            <w:vAlign w:val="bottom"/>
          </w:tcPr>
          <w:p>
            <w:pPr>
              <w:spacing w:after="0"/>
              <w:rPr>
                <w:sz w:val="1"/>
                <w:szCs w:val="1"/>
                <w:color w:val="auto"/>
              </w:rPr>
            </w:pPr>
          </w:p>
        </w:tc>
      </w:tr>
      <w:tr>
        <w:trPr>
          <w:trHeight w:val="216"/>
        </w:trPr>
        <w:tc>
          <w:tcPr>
            <w:tcW w:w="25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CEO transition costs </w:t>
            </w:r>
            <w:r>
              <w:rPr>
                <w:rFonts w:ascii="Times New Roman" w:cs="Times New Roman" w:eastAsia="Times New Roman" w:hAnsi="Times New Roman"/>
                <w:sz w:val="21"/>
                <w:szCs w:val="21"/>
                <w:color w:val="auto"/>
                <w:vertAlign w:val="superscript"/>
              </w:rPr>
              <w:t>(3)</w:t>
            </w:r>
          </w:p>
        </w:tc>
        <w:tc>
          <w:tcPr>
            <w:tcW w:w="16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124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3,026</w:t>
            </w: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NMTC settlement gain </w:t>
            </w:r>
            <w:r>
              <w:rPr>
                <w:rFonts w:ascii="Times New Roman" w:cs="Times New Roman" w:eastAsia="Times New Roman" w:hAnsi="Times New Roman"/>
                <w:sz w:val="21"/>
                <w:szCs w:val="21"/>
                <w:color w:val="auto"/>
                <w:vertAlign w:val="superscript"/>
              </w:rPr>
              <w:t>(4)</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4"/>
                <w:szCs w:val="14"/>
                <w:color w:val="auto"/>
              </w:rPr>
              <w:t>(6,740)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4"/>
                <w:szCs w:val="14"/>
                <w:color w:val="auto"/>
              </w:rPr>
              <w:t>(6,740)</w:t>
            </w:r>
          </w:p>
        </w:tc>
        <w:tc>
          <w:tcPr>
            <w:tcW w:w="0" w:type="dxa"/>
            <w:vAlign w:val="bottom"/>
          </w:tcPr>
          <w:p>
            <w:pPr>
              <w:spacing w:after="0"/>
              <w:rPr>
                <w:sz w:val="1"/>
                <w:szCs w:val="1"/>
                <w:color w:val="auto"/>
              </w:rPr>
            </w:pPr>
          </w:p>
        </w:tc>
      </w:tr>
      <w:tr>
        <w:trPr>
          <w:trHeight w:val="196"/>
        </w:trPr>
        <w:tc>
          <w:tcPr>
            <w:tcW w:w="25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4"/>
                <w:szCs w:val="14"/>
                <w:color w:val="auto"/>
              </w:rPr>
              <w:t>46,946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4"/>
                <w:szCs w:val="14"/>
                <w:color w:val="auto"/>
              </w:rPr>
              <w:t>21,279</w:t>
            </w: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36,598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31,100</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(11,040)</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4"/>
                <w:szCs w:val="14"/>
                <w:color w:val="auto"/>
              </w:rPr>
              <w:t>124,883</w:t>
            </w: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 margin</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N/M</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9.8 %</w:t>
            </w:r>
          </w:p>
        </w:tc>
        <w:tc>
          <w:tcPr>
            <w:tcW w:w="0" w:type="dxa"/>
            <w:vAlign w:val="bottom"/>
          </w:tcPr>
          <w:p>
            <w:pPr>
              <w:spacing w:after="0"/>
              <w:rPr>
                <w:sz w:val="1"/>
                <w:szCs w:val="1"/>
                <w:color w:val="auto"/>
              </w:rPr>
            </w:pPr>
          </w:p>
        </w:tc>
      </w:tr>
      <w:tr>
        <w:trPr>
          <w:trHeight w:val="21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N/M</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0" w:type="dxa"/>
            <w:vAlign w:val="bottom"/>
          </w:tcPr>
          <w:p>
            <w:pPr>
              <w:spacing w:after="0"/>
              <w:rPr>
                <w:sz w:val="1"/>
                <w:szCs w:val="1"/>
                <w:color w:val="auto"/>
              </w:rPr>
            </w:pPr>
          </w:p>
        </w:tc>
      </w:tr>
    </w:tbl>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 November 30, 2024</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3"/>
                <w:szCs w:val="13"/>
                <w:color w:val="auto"/>
              </w:rPr>
            </w:pPr>
          </w:p>
        </w:tc>
        <w:tc>
          <w:tcPr>
            <w:tcW w:w="1220" w:type="dxa"/>
            <w:vAlign w:val="bottom"/>
          </w:tcPr>
          <w:p>
            <w:pPr>
              <w:jc w:val="right"/>
              <w:ind w:right="147"/>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00" w:type="dxa"/>
            <w:vAlign w:val="bottom"/>
          </w:tcPr>
          <w:p>
            <w:pPr>
              <w:spacing w:after="0"/>
              <w:rPr>
                <w:sz w:val="13"/>
                <w:szCs w:val="13"/>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Architectural Glass</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100" w:type="dxa"/>
            <w:vAlign w:val="bottom"/>
          </w:tcPr>
          <w:p>
            <w:pPr>
              <w:spacing w:after="0"/>
              <w:rPr>
                <w:sz w:val="13"/>
                <w:szCs w:val="13"/>
                <w:color w:val="auto"/>
              </w:rPr>
            </w:pPr>
          </w:p>
        </w:tc>
        <w:tc>
          <w:tcPr>
            <w:tcW w:w="122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160" w:type="dxa"/>
            <w:vAlign w:val="bottom"/>
          </w:tcPr>
          <w:p>
            <w:pPr>
              <w:spacing w:after="0"/>
              <w:rPr>
                <w:sz w:val="13"/>
                <w:szCs w:val="13"/>
                <w:color w:val="auto"/>
              </w:rPr>
            </w:pPr>
          </w:p>
        </w:tc>
        <w:tc>
          <w:tcPr>
            <w:tcW w:w="1240" w:type="dxa"/>
            <w:vAlign w:val="bottom"/>
            <w:vMerge w:val="restart"/>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Metals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Surfaces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(loss)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4"/>
                <w:szCs w:val="14"/>
                <w:color w:val="auto"/>
              </w:rPr>
              <w:t>46,509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4"/>
                <w:szCs w:val="14"/>
                <w:color w:val="auto"/>
              </w:rPr>
              <w:t>21,460</w:t>
            </w: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49,342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4"/>
                <w:szCs w:val="14"/>
                <w:color w:val="auto"/>
              </w:rPr>
              <w:t>13,481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4"/>
                <w:szCs w:val="14"/>
                <w:color w:val="auto"/>
              </w:rPr>
              <w:t>82,566</w:t>
            </w:r>
          </w:p>
        </w:tc>
        <w:tc>
          <w:tcPr>
            <w:tcW w:w="0" w:type="dxa"/>
            <w:vAlign w:val="bottom"/>
          </w:tcPr>
          <w:p>
            <w:pPr>
              <w:spacing w:after="0"/>
              <w:rPr>
                <w:sz w:val="1"/>
                <w:szCs w:val="1"/>
                <w:color w:val="auto"/>
              </w:rPr>
            </w:pPr>
          </w:p>
        </w:tc>
      </w:tr>
      <w:tr>
        <w:trPr>
          <w:trHeight w:val="213"/>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160" w:type="dxa"/>
            <w:vAlign w:val="bottom"/>
          </w:tcPr>
          <w:p>
            <w:pPr>
              <w:spacing w:after="0"/>
              <w:rPr>
                <w:sz w:val="18"/>
                <w:szCs w:val="18"/>
                <w:color w:val="auto"/>
              </w:rPr>
            </w:pPr>
          </w:p>
        </w:tc>
        <w:tc>
          <w:tcPr>
            <w:tcW w:w="122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2,634</w:t>
            </w:r>
          </w:p>
        </w:tc>
        <w:tc>
          <w:tcPr>
            <w:tcW w:w="0" w:type="dxa"/>
            <w:vAlign w:val="bottom"/>
          </w:tcPr>
          <w:p>
            <w:pPr>
              <w:spacing w:after="0"/>
              <w:rPr>
                <w:sz w:val="1"/>
                <w:szCs w:val="1"/>
                <w:color w:val="auto"/>
              </w:rPr>
            </w:pPr>
          </w:p>
        </w:tc>
      </w:tr>
      <w:tr>
        <w:trPr>
          <w:trHeight w:val="21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4"/>
                <w:szCs w:val="14"/>
                <w:color w:val="auto"/>
              </w:rPr>
              <w:t>27,268</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4"/>
                <w:szCs w:val="14"/>
                <w:color w:val="auto"/>
              </w:rPr>
              <w:t>12,609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4"/>
                <w:szCs w:val="14"/>
                <w:color w:val="auto"/>
              </w:rPr>
              <w:t>2,887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9,158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4"/>
                <w:szCs w:val="14"/>
                <w:color w:val="auto"/>
              </w:rPr>
              <w:t>4,046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30,798</w:t>
            </w:r>
          </w:p>
        </w:tc>
        <w:tc>
          <w:tcPr>
            <w:tcW w:w="0" w:type="dxa"/>
            <w:vAlign w:val="bottom"/>
          </w:tcPr>
          <w:p>
            <w:pPr>
              <w:spacing w:after="0"/>
              <w:rPr>
                <w:sz w:val="1"/>
                <w:szCs w:val="1"/>
                <w:color w:val="auto"/>
              </w:rPr>
            </w:pPr>
          </w:p>
        </w:tc>
      </w:tr>
      <w:tr>
        <w:trPr>
          <w:trHeight w:val="199"/>
        </w:trPr>
        <w:tc>
          <w:tcPr>
            <w:tcW w:w="2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EBITDA</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4"/>
                <w:szCs w:val="14"/>
                <w:color w:val="auto"/>
              </w:rPr>
              <w:t>60,796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4"/>
                <w:szCs w:val="14"/>
                <w:color w:val="auto"/>
              </w:rPr>
              <w:t>24,370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57,551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4"/>
                <w:szCs w:val="14"/>
                <w:color w:val="auto"/>
              </w:rPr>
              <w:t>17,527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4"/>
                <w:szCs w:val="14"/>
                <w:color w:val="auto"/>
              </w:rPr>
              <w:t>143,266</w:t>
            </w:r>
          </w:p>
        </w:tc>
        <w:tc>
          <w:tcPr>
            <w:tcW w:w="0" w:type="dxa"/>
            <w:vAlign w:val="bottom"/>
          </w:tcPr>
          <w:p>
            <w:pPr>
              <w:spacing w:after="0"/>
              <w:rPr>
                <w:sz w:val="1"/>
                <w:szCs w:val="1"/>
                <w:color w:val="auto"/>
              </w:rPr>
            </w:pPr>
          </w:p>
        </w:tc>
      </w:tr>
      <w:tr>
        <w:trPr>
          <w:trHeight w:val="216"/>
        </w:trPr>
        <w:tc>
          <w:tcPr>
            <w:tcW w:w="25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Acquisition-related costs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122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20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5,068</w:t>
            </w: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1"/>
                <w:szCs w:val="21"/>
                <w:color w:val="auto"/>
                <w:vertAlign w:val="superscript"/>
              </w:rPr>
              <w:t>(2)</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4"/>
                <w:szCs w:val="14"/>
                <w:color w:val="auto"/>
              </w:rPr>
              <w:t>2,755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4"/>
                <w:szCs w:val="14"/>
                <w:color w:val="auto"/>
              </w:rPr>
              <w:t>3,213</w:t>
            </w:r>
          </w:p>
        </w:tc>
        <w:tc>
          <w:tcPr>
            <w:tcW w:w="0" w:type="dxa"/>
            <w:vAlign w:val="bottom"/>
          </w:tcPr>
          <w:p>
            <w:pPr>
              <w:spacing w:after="0"/>
              <w:rPr>
                <w:sz w:val="1"/>
                <w:szCs w:val="1"/>
                <w:color w:val="auto"/>
              </w:rPr>
            </w:pPr>
          </w:p>
        </w:tc>
      </w:tr>
      <w:tr>
        <w:trPr>
          <w:trHeight w:val="196"/>
        </w:trPr>
        <w:tc>
          <w:tcPr>
            <w:tcW w:w="25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4"/>
                <w:szCs w:val="14"/>
                <w:color w:val="auto"/>
              </w:rPr>
              <w:t>63,551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4"/>
                <w:szCs w:val="14"/>
                <w:color w:val="auto"/>
              </w:rPr>
              <w:t>23,911</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57,551</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4"/>
                <w:szCs w:val="14"/>
                <w:color w:val="auto"/>
              </w:rPr>
              <w:t>18,053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151,547</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EBITDA margin</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N/M</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14.1 %</w:t>
            </w:r>
          </w:p>
        </w:tc>
        <w:tc>
          <w:tcPr>
            <w:tcW w:w="0" w:type="dxa"/>
            <w:vAlign w:val="bottom"/>
          </w:tcPr>
          <w:p>
            <w:pPr>
              <w:spacing w:after="0"/>
              <w:rPr>
                <w:sz w:val="1"/>
                <w:szCs w:val="1"/>
                <w:color w:val="auto"/>
              </w:rPr>
            </w:pPr>
          </w:p>
        </w:tc>
      </w:tr>
      <w:tr>
        <w:trPr>
          <w:trHeight w:val="21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N/M</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14.9 %</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560" w:hanging="366"/>
        <w:spacing w:after="0"/>
        <w:tabs>
          <w:tab w:leader="none" w:pos="5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the acquisition of UW Solutions.</w:t>
      </w:r>
    </w:p>
    <w:p>
      <w:pPr>
        <w:spacing w:after="0" w:line="41" w:lineRule="exact"/>
        <w:rPr>
          <w:rFonts w:ascii="Times New Roman" w:cs="Times New Roman" w:eastAsia="Times New Roman" w:hAnsi="Times New Roman"/>
          <w:sz w:val="14"/>
          <w:szCs w:val="14"/>
          <w:color w:val="auto"/>
        </w:rPr>
      </w:pPr>
    </w:p>
    <w:p>
      <w:pPr>
        <w:ind w:left="560" w:hanging="366"/>
        <w:spacing w:after="0"/>
        <w:tabs>
          <w:tab w:leader="none" w:pos="5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costs related to Project Fortify. Costs incurred in fiscal 2025 were associated with Phase 1 and costs incurred in fiscal 2026 are associated with Phase 2.</w:t>
      </w:r>
    </w:p>
    <w:p>
      <w:pPr>
        <w:spacing w:after="0" w:line="41" w:lineRule="exact"/>
        <w:rPr>
          <w:rFonts w:ascii="Times New Roman" w:cs="Times New Roman" w:eastAsia="Times New Roman" w:hAnsi="Times New Roman"/>
          <w:sz w:val="14"/>
          <w:szCs w:val="14"/>
          <w:color w:val="auto"/>
        </w:rPr>
      </w:pPr>
    </w:p>
    <w:p>
      <w:pPr>
        <w:ind w:left="560" w:hanging="366"/>
        <w:spacing w:after="0"/>
        <w:tabs>
          <w:tab w:leader="none" w:pos="5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Transition costs related to departure of the Chief Executive Officer during the third quarter of fiscal 2026.</w:t>
      </w:r>
    </w:p>
    <w:p>
      <w:pPr>
        <w:spacing w:after="0" w:line="41" w:lineRule="exact"/>
        <w:rPr>
          <w:rFonts w:ascii="Times New Roman" w:cs="Times New Roman" w:eastAsia="Times New Roman" w:hAnsi="Times New Roman"/>
          <w:sz w:val="14"/>
          <w:szCs w:val="14"/>
          <w:color w:val="auto"/>
        </w:rPr>
      </w:pPr>
    </w:p>
    <w:p>
      <w:pPr>
        <w:ind w:left="560" w:hanging="366"/>
        <w:spacing w:after="0"/>
        <w:tabs>
          <w:tab w:leader="none" w:pos="5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 related to the settlement of a New Markets Tax Credit transactions.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Net Earnings and Adjusted Diluted Earnings Per Share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20" w:type="dxa"/>
            <w:vAlign w:val="bottom"/>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3240" w:type="dxa"/>
            <w:vAlign w:val="bottom"/>
            <w:gridSpan w:val="4"/>
          </w:tcPr>
          <w:p>
            <w:pPr>
              <w:jc w:val="right"/>
              <w:ind w:right="89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November 29, 2025</w:t>
            </w: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November 30, 2024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November 29, 2025</w:t>
            </w:r>
          </w:p>
        </w:tc>
        <w:tc>
          <w:tcPr>
            <w:tcW w:w="1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November 30, 2024</w:t>
            </w:r>
          </w:p>
        </w:tc>
      </w:tr>
      <w:tr>
        <w:trPr>
          <w:trHeight w:val="225"/>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82,566</w:t>
            </w:r>
          </w:p>
        </w:tc>
      </w:tr>
      <w:tr>
        <w:trPr>
          <w:trHeight w:val="230"/>
        </w:trPr>
        <w:tc>
          <w:tcPr>
            <w:tcW w:w="44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Acquisition-related costs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w:t>
            </w:r>
          </w:p>
        </w:tc>
      </w:tr>
      <w:tr>
        <w:trPr>
          <w:trHeight w:val="230"/>
        </w:trPr>
        <w:tc>
          <w:tcPr>
            <w:tcW w:w="44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costs </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r>
      <w:tr>
        <w:trPr>
          <w:trHeight w:val="230"/>
        </w:trPr>
        <w:tc>
          <w:tcPr>
            <w:tcW w:w="44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CEO transition costs </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NMTC settlement gain </w:t>
            </w:r>
            <w:r>
              <w:rPr>
                <w:rFonts w:ascii="Times New Roman" w:cs="Times New Roman" w:eastAsia="Times New Roman" w:hAnsi="Times New Roman"/>
                <w:sz w:val="23"/>
                <w:szCs w:val="23"/>
                <w:color w:val="auto"/>
                <w:vertAlign w:val="superscript"/>
              </w:rPr>
              <w:t>(4)</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Income tax impact on above adjustments </w:t>
            </w:r>
            <w:r>
              <w:rPr>
                <w:rFonts w:ascii="Times New Roman" w:cs="Times New Roman" w:eastAsia="Times New Roman" w:hAnsi="Times New Roman"/>
                <w:sz w:val="23"/>
                <w:szCs w:val="23"/>
                <w:color w:val="auto"/>
                <w:vertAlign w:val="superscript"/>
              </w:rPr>
              <w:t>(5)</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w:t>
            </w:r>
          </w:p>
        </w:tc>
      </w:tr>
      <w:tr>
        <w:trPr>
          <w:trHeight w:val="223"/>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earnings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20" w:type="dxa"/>
            <w:vAlign w:val="bottom"/>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3240" w:type="dxa"/>
            <w:vAlign w:val="bottom"/>
            <w:gridSpan w:val="4"/>
          </w:tcPr>
          <w:p>
            <w:pPr>
              <w:jc w:val="right"/>
              <w:ind w:right="89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November 29, 2025</w:t>
            </w: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November 30, 2024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November 29, 2025</w:t>
            </w:r>
          </w:p>
        </w:tc>
        <w:tc>
          <w:tcPr>
            <w:tcW w:w="1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November 30, 2024</w:t>
            </w:r>
          </w:p>
        </w:tc>
      </w:tr>
      <w:tr>
        <w:trPr>
          <w:trHeight w:val="225"/>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30"/>
        </w:trPr>
        <w:tc>
          <w:tcPr>
            <w:tcW w:w="44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Acquisition-related costs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29"/>
        </w:trPr>
        <w:tc>
          <w:tcPr>
            <w:tcW w:w="44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costs </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29"/>
        </w:trPr>
        <w:tc>
          <w:tcPr>
            <w:tcW w:w="44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CEO transition costs </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NMTC settlement gain </w:t>
            </w:r>
            <w:r>
              <w:rPr>
                <w:rFonts w:ascii="Times New Roman" w:cs="Times New Roman" w:eastAsia="Times New Roman" w:hAnsi="Times New Roman"/>
                <w:sz w:val="23"/>
                <w:szCs w:val="23"/>
                <w:color w:val="auto"/>
                <w:vertAlign w:val="superscript"/>
              </w:rPr>
              <w:t>(4)</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Income tax impact on above adjustments </w:t>
            </w:r>
            <w:r>
              <w:rPr>
                <w:rFonts w:ascii="Times New Roman" w:cs="Times New Roman" w:eastAsia="Times New Roman" w:hAnsi="Times New Roman"/>
                <w:sz w:val="23"/>
                <w:szCs w:val="23"/>
                <w:color w:val="auto"/>
                <w:vertAlign w:val="superscript"/>
              </w:rPr>
              <w:t>(5)</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23"/>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70"/>
        </w:trPr>
        <w:tc>
          <w:tcPr>
            <w:tcW w:w="4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29"/>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21,937</w:t>
            </w:r>
          </w:p>
        </w:tc>
      </w:tr>
    </w:tbl>
    <w:p>
      <w:pPr>
        <w:spacing w:after="0" w:line="220" w:lineRule="exact"/>
        <w:rPr>
          <w:sz w:val="20"/>
          <w:szCs w:val="20"/>
          <w:color w:val="auto"/>
        </w:rPr>
      </w:pPr>
    </w:p>
    <w:p>
      <w:pPr>
        <w:ind w:left="520" w:hanging="346"/>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Acquisition-related costs include costs related to one-time expenses incurred to integrate the UW Solutions acquisition.</w:t>
      </w:r>
    </w:p>
    <w:p>
      <w:pPr>
        <w:spacing w:after="0" w:line="41" w:lineRule="exact"/>
        <w:rPr>
          <w:rFonts w:ascii="Times New Roman" w:cs="Times New Roman" w:eastAsia="Times New Roman" w:hAnsi="Times New Roman"/>
          <w:sz w:val="14"/>
          <w:szCs w:val="14"/>
          <w:color w:val="auto"/>
        </w:rPr>
      </w:pPr>
    </w:p>
    <w:p>
      <w:pPr>
        <w:ind w:left="520" w:hanging="346"/>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costs related to Project Fortify. Costs incurred in fiscal 2025 were associated with Phase 1 and costs incurred in fiscal 2026 are associated with Phase 2.</w:t>
      </w:r>
    </w:p>
    <w:p>
      <w:pPr>
        <w:spacing w:after="0" w:line="41" w:lineRule="exact"/>
        <w:rPr>
          <w:rFonts w:ascii="Times New Roman" w:cs="Times New Roman" w:eastAsia="Times New Roman" w:hAnsi="Times New Roman"/>
          <w:sz w:val="14"/>
          <w:szCs w:val="14"/>
          <w:color w:val="auto"/>
        </w:rPr>
      </w:pPr>
    </w:p>
    <w:p>
      <w:pPr>
        <w:ind w:left="520" w:hanging="346"/>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Transition costs related to departure of the Chief Executive Officer during the third quarter of fiscal 2026.</w:t>
      </w:r>
    </w:p>
    <w:p>
      <w:pPr>
        <w:spacing w:after="0" w:line="41" w:lineRule="exact"/>
        <w:rPr>
          <w:rFonts w:ascii="Times New Roman" w:cs="Times New Roman" w:eastAsia="Times New Roman" w:hAnsi="Times New Roman"/>
          <w:sz w:val="14"/>
          <w:szCs w:val="14"/>
          <w:color w:val="auto"/>
        </w:rPr>
      </w:pPr>
    </w:p>
    <w:p>
      <w:pPr>
        <w:ind w:left="520" w:hanging="346"/>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 related to the settlement of a New Markets Tax Credit transactions.</w:t>
      </w:r>
    </w:p>
    <w:p>
      <w:pPr>
        <w:spacing w:after="0" w:line="41" w:lineRule="exact"/>
        <w:rPr>
          <w:rFonts w:ascii="Times New Roman" w:cs="Times New Roman" w:eastAsia="Times New Roman" w:hAnsi="Times New Roman"/>
          <w:sz w:val="14"/>
          <w:szCs w:val="14"/>
          <w:color w:val="auto"/>
        </w:rPr>
      </w:pPr>
    </w:p>
    <w:p>
      <w:pPr>
        <w:ind w:left="520" w:hanging="346"/>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 impact reflects the estimated blended statutory tax rate for the jurisdictions in which the charge or income occurred.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cash provided by operations for our material cash requirements, including working capital needs, capital expenditures, satisfaction of contractual commitments (including principal and interest payments on our outstanding indebtedness) and shareholder return through dividend payments and share repurchases.</w:t>
      </w:r>
    </w:p>
    <w:p>
      <w:pPr>
        <w:spacing w:after="0" w:line="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was $66.6 million for the first nine months of fiscal 2026, compared to $95.1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year period. The decrease in net cash provided by operating activities was primarily driven by lower net earnings and increased cash used for working capital, which included a net payment of $13.7 million for the settlement of an arbitration award during our first fiscal quarter. This was partially offset by lower taxes paid as a result of the One Big Beautiful Bill Act tax legislation.</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in investing activities was $15.8 million for the first nine months of fiscal 2026, compared to $257.1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prior-year period. The net cash used in investing activities was primarily related to capital expenditures in the current year period while the prior year period included a net use of cash for the acquisition of UW Solutions of $233.1 million.</w:t>
      </w:r>
    </w:p>
    <w:p>
      <w:pPr>
        <w:spacing w:after="0" w:line="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used in financing activities was $51.9 million for the first nine months of fiscal 2026, compared to $169.0 million of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provided by financing activities in the prior year period. The prior year period included $250.0 million in proceeds from financing for the acquisition of UW Solutions. The prior year period also included $15.1 million for repurchases of common stock.</w:t>
      </w:r>
    </w:p>
    <w:p>
      <w:pPr>
        <w:spacing w:after="0" w:line="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Additional Liquidity Considerations. </w:t>
      </w:r>
      <w:r>
        <w:rPr>
          <w:rFonts w:ascii="Times New Roman" w:cs="Times New Roman" w:eastAsia="Times New Roman" w:hAnsi="Times New Roman"/>
          <w:sz w:val="18"/>
          <w:szCs w:val="18"/>
          <w:color w:val="auto"/>
        </w:rPr>
        <w:t>We periodically evaluate our liquidity requirements, cash needs and availability of debt resources relative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plans, significant capital plans, and other working capital needs.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19, 2024, we entered into a Credit Agreement (the Credit Agreement) with Bank of America, N.A., as administrative agent, and other lenders. The Credit Agreement provides for an unsecured senior credit facility in an aggregate principal amount of up to $700.0 million, in which commitments were made through a $450.0 million, five-year revolving credit facility and a committed $250.0 million delayed draw term loan facility. Borrowings under the revolving credit facility can be in Canadian dollars (CAD) limited to $25.0 million USD. The term loan facility may be utilized in up to two drawdowns, which are available to be made within one year after the closing date. The senior credit facility has a term of five years with a maturity date of July 19, 2029.</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Agreement replaced the previous revolving credit facility with Wells Fargo Bank, N.A., as administrative agent, and other lenders, with maximum borrowings up to $385.0 million, and the two Canadian credit facilities with Bank of Montreal totaling $25.0 million USD.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execution of the Credit Agreement, in the second quarter of fiscal 2025, we recognized a loss on extinguishment of debt within interest expense of $0.5 million for the write-off of unamortized financing fees related to the previous revolving credit facility. Additionally, we capitalized $3.0 million of lender fees and $0.8 million of third-party fees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incurred in connection with the Credit Agreement, which were recorded as other non-current assets and are being amortized over the term of the credit facility as interest expense.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contains two maintenance financial covenants that require our Consolidated Leverage Ratio (as defined in the Credit Agreement) to be less than 3.50 and our Consolidated Interest Coverage Ratio (as defined in the Credit Agreement) to exceed 3.00. At November 29, 2025, we were in compliance with all covenants as defined under the terms of the Credit Agreement.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an acquisition “holiday”. In the event we make an acquisition for which the purchase price is greater than $75 million, we can elect to increase the maximum Consolidated Leverage Ratio (as defined in the Credit Agreement) to 4.00 for a period of four consecutive fiscal quarters, commencing with the fiscal quarter in which a qualifying acquisition occurs. No more than two acquisition holidays can occur during the term of the Credit Agreement, and at least two fiscal quarters must separate qualifying acquisitions.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Credit Agreement bear floating interest at either the Base Rate or Term Secured Overnight Financing Rate (SOFR), or for CAD borrowings, Canadian Overnight Repo Rate Average (CORRA) plus, in each a margin based on the Consolidated Leverage Ratio (as defined in the Credit Agreement). For Base Rate borrowings, the margin ranges from 0.25% to 0.75%. For Term SOFR and CORRA borrowings, the margin ranges from 1.25% to 1.75%, with an incremental Term SOFR and CORRA adjustment of 0.10% and 0.29547% respectively.</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Credit Agreement also contains an “accordion” provision. Under this provision, we can request that the senior credit facility be increased by unlimited additional amounts. Any lender may elect or decline to participate in the requested increase at their sole discretion.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4, 2024, as part of the acquisition of UW Solutions, and for working capital and general corporate purposes, we executed a drawdown against the delayed draw term loan facility for $250.0 million. Outstanding borrowings under the term loan facility were $215.0 million as of November 29, 2025. Outstanding borrowings under the revolving credit facility were $40.0 million as of November 29, 2025.</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November 29, 2025, we had a total of $2.6 million of ongoing letters of credit related to the senior credit facility, construction contracts and insurance collateral that expire in fiscal 2027 and reduce borrowing capacity under the revolving credit facility. As of November 29, 2025, the amount available for revolving borrowings was $407.4 million.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acquire the use of certain assets through operating leases, such as property, manufacturing equipment, vehicles and other equipment. Future payments for such leases, excluding leases with initial terms of one year or less, were $63.2 million at November 29, 2025, with $3.9 million payable during the remainder of fiscal 2026.</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29, 2025, we had $16.4 million of open purchase obligations, of which payments totaling $2.7 million are expected to become due during the remainder of fiscal 2026. These purchase obligations primarily relate to raw material commitments and capital expenditures and are not expected to impact future liquidity, as amounts should be recovered through customer billings.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to make contributions of $0.4 million to our defined-benefit pension plans in fiscal 2026, which will equal or exceed our minimum funding requirements.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November 29, 2025, we had reserves of $5.9 million for unrecognized tax benefits. We are unable to reasonably estimate in which future periods the remaining unrecognized tax benefits will ultimately be settled.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required, in the ordinary course of business, to provide surety or performance bonds that commit payments to our customers for any non-performance. At November 29, 2025, $1.2 billion of these types of bonds were outstanding, of which $253.0 million is in our backlog. These bonds have expiration dates that align with completion of the purchase order or contract. We have not been required to make any payments under these bonds with respect to our existing businesses.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our ability to generate strong cash from operations and our borrowing capability under our committed revolving credit facility, we believe that our sources of liquidity will be adequate to meet our short-term and long-term liquidity and capital expenditure needs. In addition, we believe we have the ability to obtain both short-term and long-term debt to meet our financing needs, including additional sources of debt to finance potential acquisitions, for the foreseeable future. We also believe we will be able to operate our business so as to continue to be in compliance with our existing debt covenants over the next fiscal year.</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continually review our portfolio of businesses and their assets and how they support our business strategy and performance objectives. As part of this review, we may acquire other businesses, pursue geographic expansion, take actions to manage capacity and further invest in, divest and/or sell parts of our current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material changes have occurred in the disclosure with respect to our related party transactions set forth in our Annual Report on Form 10-K for the fiscal year ended March 1, 2025.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those disclosed in our Annual Report on Form 10-K for the fiscal year ended March 1, 2025.</w:t>
      </w:r>
    </w:p>
    <w:p>
      <w:pPr>
        <w:spacing w:after="0" w:line="200" w:lineRule="exact"/>
        <w:rPr>
          <w:sz w:val="20"/>
          <w:szCs w:val="20"/>
          <w:color w:val="auto"/>
        </w:rPr>
      </w:pPr>
    </w:p>
    <w:p>
      <w:pPr>
        <w:spacing w:after="0" w:line="20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Refer to the Company’s Annual Report on Form 10-K for the fiscal year ended March 1, 2025, for a discussion of the Company’s market risk. There have been no material changes in market risk since March 1, 2025.</w:t>
      </w:r>
    </w:p>
    <w:p>
      <w:pPr>
        <w:spacing w:after="0" w:line="200" w:lineRule="exact"/>
        <w:rPr>
          <w:sz w:val="20"/>
          <w:szCs w:val="20"/>
          <w:color w:val="auto"/>
        </w:rPr>
      </w:pPr>
    </w:p>
    <w:p>
      <w:pPr>
        <w:spacing w:after="0" w:line="20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jc w:val="both"/>
        <w:ind w:left="1300" w:hanging="644"/>
        <w:spacing w:after="0" w:line="254" w:lineRule="auto"/>
        <w:tabs>
          <w:tab w:leader="none" w:pos="129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Securities Exchange Act of 1934, as amended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8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controls: There was no change in the Company’s internal control over financial reporting that occurred during the fiscal quarter ended November 29, 2025, that has materially affected, or is reasonably likely to materially affect, the Company’s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or additions to our risk factors discussed in our Annual Report on Form 10-K for the fiscal year ended March 1, 2025.</w:t>
      </w:r>
    </w:p>
    <w:p>
      <w:pPr>
        <w:spacing w:after="0" w:line="200" w:lineRule="exact"/>
        <w:rPr>
          <w:sz w:val="20"/>
          <w:szCs w:val="20"/>
          <w:color w:val="auto"/>
        </w:rPr>
      </w:pPr>
    </w:p>
    <w:p>
      <w:pPr>
        <w:spacing w:after="0" w:line="26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made by the Company of its own stock during the third quarter of fiscal 2026:</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6"/>
        </w:trPr>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2"/>
                <w:szCs w:val="12"/>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98"/>
        </w:trPr>
        <w:tc>
          <w:tcPr>
            <w:tcW w:w="4400" w:type="dxa"/>
            <w:vAlign w:val="bottom"/>
            <w:gridSpan w:val="2"/>
            <w:vMerge w:val="continue"/>
          </w:tcPr>
          <w:p>
            <w:pPr>
              <w:spacing w:after="0"/>
              <w:rPr>
                <w:sz w:val="17"/>
                <w:szCs w:val="17"/>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 Purchased (a)</w:t>
            </w:r>
          </w:p>
        </w:tc>
        <w:tc>
          <w:tcPr>
            <w:tcW w:w="18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Programs (b)</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(b)</w:t>
            </w:r>
          </w:p>
        </w:tc>
        <w:tc>
          <w:tcPr>
            <w:tcW w:w="0" w:type="dxa"/>
            <w:vAlign w:val="bottom"/>
          </w:tcPr>
          <w:p>
            <w:pPr>
              <w:spacing w:after="0"/>
              <w:rPr>
                <w:sz w:val="1"/>
                <w:szCs w:val="1"/>
                <w:color w:val="auto"/>
              </w:rPr>
            </w:pPr>
          </w:p>
        </w:tc>
      </w:tr>
      <w:tr>
        <w:trPr>
          <w:trHeight w:val="228"/>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31, 2025 to September 27, 2025</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2,186,793</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28, 2025 to October 25, 2025</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2,186,793</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26, 2025 to November 29, 2025</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2,186,793</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40" w:type="dxa"/>
            <w:vAlign w:val="bottom"/>
            <w:tcBorders>
              <w:top w:val="single" w:sz="8" w:color="auto"/>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2,186,793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right="20" w:hanging="332"/>
        <w:spacing w:after="0" w:line="282" w:lineRule="auto"/>
        <w:tabs>
          <w:tab w:leader="none" w:pos="337"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purchase any shares pursuant to our publicly announced repurchase program during the fiscal quarter, nor were any shares surrendered to us by plan participants to satisfy withholding tax obligations related to share-based compensation during the quarter.</w:t>
      </w:r>
    </w:p>
    <w:p>
      <w:pPr>
        <w:spacing w:after="0" w:line="67" w:lineRule="exact"/>
        <w:rPr>
          <w:rFonts w:ascii="Times New Roman" w:cs="Times New Roman" w:eastAsia="Times New Roman" w:hAnsi="Times New Roman"/>
          <w:sz w:val="14"/>
          <w:szCs w:val="14"/>
          <w:color w:val="auto"/>
        </w:rPr>
      </w:pPr>
    </w:p>
    <w:p>
      <w:pPr>
        <w:jc w:val="both"/>
        <w:ind w:left="340" w:hanging="332"/>
        <w:spacing w:after="0" w:line="279" w:lineRule="auto"/>
        <w:tabs>
          <w:tab w:leader="none" w:pos="33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January 14, 2020, October 7, 2021, and June 22, 2022; and by 2,000,000 shares, on each of the announcement dates of October 3, 2018, January 14, 2022 and October 6, 2023. The repurchase program does not have an expiration date.</w:t>
      </w:r>
    </w:p>
    <w:p>
      <w:pPr>
        <w:spacing w:after="0" w:line="200" w:lineRule="exact"/>
        <w:rPr>
          <w:sz w:val="20"/>
          <w:szCs w:val="20"/>
          <w:color w:val="auto"/>
        </w:rPr>
      </w:pPr>
    </w:p>
    <w:p>
      <w:pPr>
        <w:spacing w:after="0" w:line="38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Adoption or Termination of Trading Arrangements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November 29, 2025, none of our directors or officers (as defined in Rule 16a-1(f) of the Exchange Act) adopted or terminated any “Rule 10b5-1 trading arrangement” or any “non-Rule 10b5-1 trading arrangement”, as each term is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62" w:lineRule="exact"/>
        <w:rPr>
          <w:sz w:val="20"/>
          <w:szCs w:val="20"/>
          <w:color w:val="auto"/>
        </w:rPr>
      </w:pPr>
    </w:p>
    <w:p>
      <w:pPr>
        <w:jc w:val="both"/>
        <w:ind w:left="780" w:hanging="755"/>
        <w:spacing w:after="0" w:line="237" w:lineRule="auto"/>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69">
        <w:r>
          <w:rPr>
            <w:rFonts w:ascii="Times New Roman" w:cs="Times New Roman" w:eastAsia="Times New Roman" w:hAnsi="Times New Roman"/>
            <w:sz w:val="18"/>
            <w:szCs w:val="18"/>
            <w:u w:val="single" w:color="auto"/>
            <w:color w:val="0000FF"/>
          </w:rPr>
          <w:t>Restated Articles of Incorporation. (Incorporated by reference to Exhibit 3.1 to Registrant's Annual Report on Form 10-K for the year-ended</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February 28, 2004.)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029450" cy="265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029450" cy="265430"/>
                    </a:xfrm>
                    <a:prstGeom prst="rect">
                      <a:avLst/>
                    </a:prstGeom>
                    <a:noFill/>
                  </pic:spPr>
                </pic:pic>
              </a:graphicData>
            </a:graphic>
          </wp:anchor>
        </w:drawing>
      </w:r>
    </w:p>
    <w:p>
      <w:pPr>
        <w:ind w:left="20"/>
        <w:spacing w:after="0" w:line="237" w:lineRule="auto"/>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71">
        <w:r>
          <w:rPr>
            <w:rFonts w:ascii="Times New Roman" w:cs="Times New Roman" w:eastAsia="Times New Roman" w:hAnsi="Times New Roman"/>
            <w:sz w:val="18"/>
            <w:szCs w:val="18"/>
            <w:u w:val="single" w:color="auto"/>
            <w:color w:val="0000FF"/>
          </w:rPr>
          <w:t>Articles of Amendment to Restated Articles of Incorporation. Incorporated by reference to Exhibit 3.1 to Registrant's Current Report on Form</w:t>
        </w:r>
      </w:hyperlink>
    </w:p>
    <w:p>
      <w:pPr>
        <w:spacing w:after="0" w:line="1" w:lineRule="exact"/>
        <w:rPr>
          <w:sz w:val="20"/>
          <w:szCs w:val="20"/>
          <w:color w:val="auto"/>
        </w:rPr>
      </w:pPr>
    </w:p>
    <w:p>
      <w:pPr>
        <w:ind w:left="780"/>
        <w:spacing w:after="0"/>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8-K filed on January 16, 2020.</w:t>
        </w:r>
      </w:hyperlink>
    </w:p>
    <w:p>
      <w:pPr>
        <w:spacing w:after="0" w:line="16" w:lineRule="exact"/>
        <w:rPr>
          <w:sz w:val="20"/>
          <w:szCs w:val="20"/>
          <w:color w:val="auto"/>
        </w:rPr>
      </w:pPr>
    </w:p>
    <w:p>
      <w:pPr>
        <w:jc w:val="both"/>
        <w:ind w:left="780" w:hanging="755"/>
        <w:spacing w:after="0" w:line="237" w:lineRule="auto"/>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r>
      <w:r>
        <w:rPr>
          <w:sz w:val="20"/>
          <w:szCs w:val="20"/>
          <w:color w:val="auto"/>
        </w:rPr>
        <w:tab/>
      </w:r>
      <w:hyperlink r:id="rId72">
        <w:r>
          <w:rPr>
            <w:rFonts w:ascii="Times New Roman" w:cs="Times New Roman" w:eastAsia="Times New Roman" w:hAnsi="Times New Roman"/>
            <w:sz w:val="18"/>
            <w:szCs w:val="18"/>
            <w:u w:val="single" w:color="auto"/>
            <w:color w:val="0000FF"/>
          </w:rPr>
          <w:t>Amended and Restated Bylaws of Apogee Enterprises, Inc. (Incorporated by reference to Exhibit 3.3 to the Registrant’s Quarterly Report on</w:t>
        </w:r>
      </w:hyperlink>
      <w:r>
        <w:rPr>
          <w:rFonts w:ascii="Times New Roman" w:cs="Times New Roman" w:eastAsia="Times New Roman" w:hAnsi="Times New Roman"/>
          <w:sz w:val="18"/>
          <w:szCs w:val="18"/>
          <w:u w:val="single" w:color="auto"/>
          <w:color w:val="0000FF"/>
        </w:rPr>
        <w:t xml:space="preserve"> </w:t>
      </w:r>
      <w:hyperlink r:id="rId72">
        <w:r>
          <w:rPr>
            <w:rFonts w:ascii="Times New Roman" w:cs="Times New Roman" w:eastAsia="Times New Roman" w:hAnsi="Times New Roman"/>
            <w:sz w:val="18"/>
            <w:szCs w:val="18"/>
            <w:u w:val="single" w:color="auto"/>
            <w:color w:val="0000FF"/>
          </w:rPr>
          <w:t>Form 10-Q filed on July 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029450" cy="265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029450" cy="265430"/>
                    </a:xfrm>
                    <a:prstGeom prst="rect">
                      <a:avLst/>
                    </a:prstGeom>
                    <a:noFill/>
                  </pic:spPr>
                </pic:pic>
              </a:graphicData>
            </a:graphic>
          </wp:anchor>
        </w:drawing>
      </w:r>
    </w:p>
    <w:p>
      <w:pPr>
        <w:ind w:left="20"/>
        <w:spacing w:after="0" w:line="237" w:lineRule="auto"/>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74">
        <w:r>
          <w:rPr>
            <w:rFonts w:ascii="Times New Roman" w:cs="Times New Roman" w:eastAsia="Times New Roman" w:hAnsi="Times New Roman"/>
            <w:sz w:val="18"/>
            <w:szCs w:val="18"/>
            <w:u w:val="single" w:color="auto"/>
            <w:color w:val="0000FF"/>
          </w:rPr>
          <w:t>Separation Agreement, dated October 30, 2025. (Incorporated by reference to Registrant’s Current Report on Form 8-K filed November 5,</w:t>
        </w:r>
      </w:hyperlink>
    </w:p>
    <w:p>
      <w:pPr>
        <w:spacing w:after="0" w:line="1" w:lineRule="exact"/>
        <w:rPr>
          <w:sz w:val="20"/>
          <w:szCs w:val="20"/>
          <w:color w:val="auto"/>
        </w:rPr>
      </w:pPr>
    </w:p>
    <w:p>
      <w:pPr>
        <w:ind w:left="780"/>
        <w:spacing w:after="0"/>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2025.)</w:t>
        </w:r>
      </w:hyperlink>
    </w:p>
    <w:p>
      <w:pPr>
        <w:spacing w:after="0" w:line="16" w:lineRule="exact"/>
        <w:rPr>
          <w:sz w:val="20"/>
          <w:szCs w:val="20"/>
          <w:color w:val="auto"/>
        </w:rPr>
      </w:pPr>
    </w:p>
    <w:p>
      <w:pPr>
        <w:ind w:left="20"/>
        <w:spacing w:after="0"/>
        <w:tabs>
          <w:tab w:leader="none" w:pos="7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75">
        <w:r>
          <w:rPr>
            <w:rFonts w:ascii="Times New Roman" w:cs="Times New Roman" w:eastAsia="Times New Roman" w:hAnsi="Times New Roman"/>
            <w:sz w:val="17"/>
            <w:szCs w:val="17"/>
            <w:u w:val="single" w:color="auto"/>
            <w:color w:val="0000FF"/>
          </w:rPr>
          <w:t>Offer Letter, effective October 31, 2025. (Incorporated by reference to Registrant’s Current Report on Form 8-K filed November 5,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2945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029450" cy="14541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2945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029450" cy="146050"/>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pursuant to Rule 13a-14(a) under the Securities Exchange Act of 1934.</w:t>
      </w:r>
    </w:p>
    <w:p>
      <w:pPr>
        <w:spacing w:after="0" w:line="6"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18 U.S.C. Section 1350, as adopted pursuant to Section 906 of the Sarbanes-Oxley Act of</w:t>
      </w:r>
    </w:p>
    <w:p>
      <w:pPr>
        <w:ind w:left="780"/>
        <w:spacing w:after="0"/>
        <w:rPr>
          <w:sz w:val="20"/>
          <w:szCs w:val="20"/>
          <w:color w:val="auto"/>
        </w:rPr>
      </w:pPr>
      <w:r>
        <w:rPr>
          <w:rFonts w:ascii="Times New Roman" w:cs="Times New Roman" w:eastAsia="Times New Roman" w:hAnsi="Times New Roman"/>
          <w:sz w:val="18"/>
          <w:szCs w:val="18"/>
          <w:u w:val="single" w:color="auto"/>
          <w:color w:val="0000FF"/>
        </w:rPr>
        <w:t>2002.</w:t>
      </w:r>
    </w:p>
    <w:p>
      <w:pPr>
        <w:spacing w:after="0" w:line="5"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pursuant to 18 U.S.C. Section 1350, as adopted pursuant to Section 906 of the Sarbanes-Oxley Act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029450" cy="265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029450" cy="265430"/>
                    </a:xfrm>
                    <a:prstGeom prst="rect">
                      <a:avLst/>
                    </a:prstGeom>
                    <a:noFill/>
                  </pic:spPr>
                </pic:pic>
              </a:graphicData>
            </a:graphic>
          </wp:anchor>
        </w:drawing>
      </w:r>
    </w:p>
    <w:p>
      <w:pPr>
        <w:ind w:left="780"/>
        <w:spacing w:after="0"/>
        <w:rPr>
          <w:sz w:val="20"/>
          <w:szCs w:val="20"/>
          <w:color w:val="auto"/>
        </w:rPr>
      </w:pPr>
      <w:r>
        <w:rPr>
          <w:rFonts w:ascii="Times New Roman" w:cs="Times New Roman" w:eastAsia="Times New Roman" w:hAnsi="Times New Roman"/>
          <w:sz w:val="18"/>
          <w:szCs w:val="18"/>
          <w:u w:val="single" w:color="auto"/>
          <w:color w:val="0000FF"/>
        </w:rPr>
        <w:t>2002.</w:t>
      </w:r>
    </w:p>
    <w:p>
      <w:pPr>
        <w:spacing w:after="0" w:line="16" w:lineRule="exact"/>
        <w:rPr>
          <w:sz w:val="20"/>
          <w:szCs w:val="20"/>
          <w:color w:val="auto"/>
        </w:rPr>
      </w:pPr>
    </w:p>
    <w:p>
      <w:pPr>
        <w:jc w:val="both"/>
        <w:ind w:left="780" w:hanging="759"/>
        <w:spacing w:after="0"/>
        <w:tabs>
          <w:tab w:leader="none" w:pos="7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materials from Apogee Enterprises, Inc.’s Quarterly Report on Form 10-Q for the quarter ended November 29, 2025, formatted in iXBRL (Inline Extensible Business Reporting Language): (i) the Consolidated Balance Sheets as of November 29, 2025 and March 1, 2025, (ii) the Consolidated Results of Operations for the three and nine months ended November 29, 2025 and November 30, 2024, (iii) the Consolidated Statements of Comprehensive Earnings for the three and nine months ended November 29, 2025 and November 30, 2024, (iv) the Consolidated Statements of Cash Flows for the nine-months ended November 29, 2025 and November 30, 2024, (v) the Consolidated Statements of Shareholders' Equity for the three and nine months ended November 29, 2025 and November 30, 2024, and (vi) Notes to Consolidated Financial Statements.</w:t>
      </w:r>
    </w:p>
    <w:p>
      <w:pPr>
        <w:spacing w:after="0" w:line="9"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2945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029450" cy="146050"/>
                    </a:xfrm>
                    <a:prstGeom prst="rect">
                      <a:avLst/>
                    </a:prstGeom>
                    <a:noFill/>
                  </pic:spPr>
                </pic:pic>
              </a:graphicData>
            </a:graphic>
          </wp:anchor>
        </w:drawing>
      </w:r>
    </w:p>
    <w:p>
      <w:pPr>
        <w:spacing w:after="0" w:line="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Exhibits marked with a (#) sign are filed herewith.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29" w:right="5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APOGEE ENTERPRISES, INC.</w:t>
      </w:r>
    </w:p>
    <w:p>
      <w:pPr>
        <w:spacing w:after="0" w:line="293" w:lineRule="exact"/>
        <w:rPr>
          <w:sz w:val="20"/>
          <w:szCs w:val="20"/>
          <w:color w:val="auto"/>
        </w:rPr>
      </w:pPr>
    </w:p>
    <w:p>
      <w:pPr>
        <w:ind w:left="20"/>
        <w:spacing w:after="0"/>
        <w:tabs>
          <w:tab w:leader="none" w:pos="5560" w:val="left"/>
        </w:tabs>
        <w:rPr>
          <w:sz w:val="20"/>
          <w:szCs w:val="20"/>
          <w:color w:val="auto"/>
        </w:rPr>
      </w:pPr>
      <w:r>
        <w:rPr>
          <w:rFonts w:ascii="Times New Roman" w:cs="Times New Roman" w:eastAsia="Times New Roman" w:hAnsi="Times New Roman"/>
          <w:sz w:val="18"/>
          <w:szCs w:val="18"/>
          <w:color w:val="auto"/>
        </w:rPr>
        <w:t>Date: January 7, 2026</w:t>
      </w:r>
      <w:r>
        <w:rPr>
          <w:sz w:val="20"/>
          <w:szCs w:val="20"/>
          <w:color w:val="auto"/>
        </w:rPr>
        <w:tab/>
      </w:r>
      <w:r>
        <w:rPr>
          <w:rFonts w:ascii="Times New Roman" w:cs="Times New Roman" w:eastAsia="Times New Roman" w:hAnsi="Times New Roman"/>
          <w:sz w:val="17"/>
          <w:szCs w:val="17"/>
          <w:color w:val="auto"/>
        </w:rPr>
        <w:t>By: /s/ Donald A.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17145</wp:posOffset>
            </wp:positionV>
            <wp:extent cx="36087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Donald A. Nolan</w:t>
      </w:r>
    </w:p>
    <w:p>
      <w:pPr>
        <w:ind w:left="6040"/>
        <w:spacing w:after="0" w:line="219" w:lineRule="auto"/>
        <w:rPr>
          <w:sz w:val="20"/>
          <w:szCs w:val="20"/>
          <w:color w:val="auto"/>
        </w:rPr>
      </w:pPr>
      <w:r>
        <w:rPr>
          <w:rFonts w:ascii="Times New Roman" w:cs="Times New Roman" w:eastAsia="Times New Roman" w:hAnsi="Times New Roman"/>
          <w:sz w:val="18"/>
          <w:szCs w:val="18"/>
          <w:color w:val="auto"/>
        </w:rPr>
        <w:t>Executive Chair, President and Chief Executive Officer</w:t>
      </w:r>
    </w:p>
    <w:p>
      <w:pPr>
        <w:ind w:left="6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5540" w:val="left"/>
        </w:tabs>
        <w:rPr>
          <w:sz w:val="20"/>
          <w:szCs w:val="20"/>
          <w:color w:val="auto"/>
        </w:rPr>
      </w:pPr>
      <w:r>
        <w:rPr>
          <w:rFonts w:ascii="Times New Roman" w:cs="Times New Roman" w:eastAsia="Times New Roman" w:hAnsi="Times New Roman"/>
          <w:sz w:val="18"/>
          <w:szCs w:val="18"/>
          <w:color w:val="auto"/>
        </w:rPr>
        <w:t>Date: January 7, 2026</w:t>
      </w:r>
      <w:r>
        <w:rPr>
          <w:sz w:val="20"/>
          <w:szCs w:val="20"/>
          <w:color w:val="auto"/>
        </w:rPr>
        <w:tab/>
      </w:r>
      <w:r>
        <w:rPr>
          <w:rFonts w:ascii="Times New Roman" w:cs="Times New Roman" w:eastAsia="Times New Roman" w:hAnsi="Times New Roman"/>
          <w:sz w:val="17"/>
          <w:szCs w:val="17"/>
          <w:color w:val="auto"/>
        </w:rPr>
        <w:t>By: /s/ Mark R. Augdahl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17145</wp:posOffset>
            </wp:positionV>
            <wp:extent cx="36175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Mark R. Augdahl</w:t>
      </w:r>
    </w:p>
    <w:p>
      <w:pPr>
        <w:ind w:left="6020"/>
        <w:spacing w:after="0" w:line="203" w:lineRule="auto"/>
        <w:rPr>
          <w:sz w:val="20"/>
          <w:szCs w:val="20"/>
          <w:color w:val="auto"/>
        </w:rPr>
      </w:pPr>
      <w:r>
        <w:rPr>
          <w:rFonts w:ascii="Times New Roman" w:cs="Times New Roman" w:eastAsia="Times New Roman" w:hAnsi="Times New Roman"/>
          <w:sz w:val="18"/>
          <w:szCs w:val="18"/>
          <w:color w:val="auto"/>
        </w:rPr>
        <w:t>Interim Chief Financial Officer</w:t>
      </w:r>
    </w:p>
    <w:p>
      <w:pPr>
        <w:ind w:left="60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229"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Donald A. Nolan, certify that:</w:t>
      </w:r>
    </w:p>
    <w:p>
      <w:pPr>
        <w:spacing w:after="0" w:line="117"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20" w:hanging="652"/>
        <w:spacing w:after="0" w:line="266" w:lineRule="auto"/>
        <w:tabs>
          <w:tab w:leader="none" w:pos="195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196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195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hanging="652"/>
        <w:spacing w:after="0" w:line="266" w:lineRule="auto"/>
        <w:tabs>
          <w:tab w:leader="none" w:pos="196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280" w:right="120" w:hanging="652"/>
        <w:spacing w:after="0" w:line="266" w:lineRule="auto"/>
        <w:tabs>
          <w:tab w:leader="none" w:pos="195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140" w:hanging="652"/>
        <w:spacing w:after="0" w:line="282" w:lineRule="auto"/>
        <w:tabs>
          <w:tab w:leader="none" w:pos="196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Date: January 7, 2026</w:t>
      </w:r>
    </w:p>
    <w:p>
      <w:pPr>
        <w:spacing w:after="0" w:line="7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Donald A.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43180</wp:posOffset>
            </wp:positionV>
            <wp:extent cx="33947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8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Donald A. Nolan</w:t>
      </w:r>
    </w:p>
    <w:p>
      <w:pPr>
        <w:spacing w:after="0" w:line="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Chair, President and Chief Executive Officer</w:t>
      </w:r>
    </w:p>
    <w:p>
      <w:pPr>
        <w:sectPr>
          <w:pgSz w:w="11900" w:h="16838" w:orient="portrait"/>
          <w:cols w:equalWidth="0" w:num="1">
            <w:col w:w="11240"/>
          </w:cols>
          <w:pgMar w:left="320" w:top="91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R. Augdahl, certify that:</w:t>
      </w:r>
    </w:p>
    <w:p>
      <w:pPr>
        <w:spacing w:after="0" w:line="117"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0" w:hanging="652"/>
        <w:spacing w:after="0" w:line="266" w:lineRule="auto"/>
        <w:tabs>
          <w:tab w:leader="none" w:pos="227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652"/>
        <w:spacing w:after="0" w:line="289" w:lineRule="auto"/>
        <w:tabs>
          <w:tab w:leader="none" w:pos="228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jc w:val="both"/>
        <w:ind w:left="2280" w:right="20" w:hanging="652"/>
        <w:spacing w:after="0" w:line="266" w:lineRule="auto"/>
        <w:tabs>
          <w:tab w:leader="none" w:pos="227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20" w:hanging="652"/>
        <w:spacing w:after="0" w:line="266" w:lineRule="auto"/>
        <w:tabs>
          <w:tab w:leader="none" w:pos="22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280" w:right="300" w:hanging="652"/>
        <w:spacing w:after="0" w:line="266" w:lineRule="auto"/>
        <w:tabs>
          <w:tab w:leader="none" w:pos="227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660" w:hanging="652"/>
        <w:spacing w:after="0" w:line="282" w:lineRule="auto"/>
        <w:tabs>
          <w:tab w:leader="none" w:pos="22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Date: January 7, 2026</w:t>
      </w:r>
    </w:p>
    <w:p>
      <w:pPr>
        <w:spacing w:after="0" w:line="33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Mark R. Augdahl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17145</wp:posOffset>
            </wp:positionV>
            <wp:extent cx="30861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16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Mark R. Augdahl</w:t>
      </w:r>
    </w:p>
    <w:p>
      <w:pPr>
        <w:ind w:left="640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Apogee Enterprises, Inc. (the “Company”) on Form 10-Q for the period ended November 29, 2025 as filed with the Securities and Exchange Commission (the “Report”), I, Donald A. Nolan, Executive Chair, President and Chief Executive Officer of the Company, certify, pursuant to 18 U.S.C. § 1350, as adopted pursuant to § 906 of the Sarbanes-Oxley Act of 2002, that based on my knowledge:</w:t>
      </w:r>
    </w:p>
    <w:p>
      <w:pPr>
        <w:spacing w:after="0" w:line="122" w:lineRule="exact"/>
        <w:rPr>
          <w:sz w:val="20"/>
          <w:szCs w:val="20"/>
          <w:color w:val="auto"/>
        </w:rPr>
      </w:pPr>
    </w:p>
    <w:p>
      <w:pPr>
        <w:ind w:left="640" w:hanging="308"/>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Donald A.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000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Donald A. Nolan</w:t>
      </w:r>
    </w:p>
    <w:p>
      <w:pPr>
        <w:ind w:left="20"/>
        <w:spacing w:after="0"/>
        <w:rPr>
          <w:sz w:val="20"/>
          <w:szCs w:val="20"/>
          <w:color w:val="auto"/>
        </w:rPr>
      </w:pPr>
      <w:r>
        <w:rPr>
          <w:rFonts w:ascii="Times New Roman" w:cs="Times New Roman" w:eastAsia="Times New Roman" w:hAnsi="Times New Roman"/>
          <w:sz w:val="18"/>
          <w:szCs w:val="18"/>
          <w:color w:val="auto"/>
        </w:rPr>
        <w:t>Executive Chair, President and Chief Executive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January 7, 2026</w:t>
      </w:r>
    </w:p>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Apogee Enterprises, Inc. (the “Company”) on Form 10-Q for the period ended November 29, 2025 as filed with the Securities and Exchange Commission (the “Report”), I, Mark R. Augdahl, Executive Vice President and Chief Financial Officer of the Company, certify, pursuant to 18 U.S.C. § 1350, as adopted pursuant to § 906 of the Sarbanes-Oxley Act of 2002, that based on my knowledge:</w:t>
      </w:r>
    </w:p>
    <w:p>
      <w:pPr>
        <w:spacing w:after="0" w:line="122" w:lineRule="exact"/>
        <w:rPr>
          <w:sz w:val="20"/>
          <w:szCs w:val="20"/>
          <w:color w:val="auto"/>
        </w:rPr>
      </w:pPr>
    </w:p>
    <w:p>
      <w:pPr>
        <w:ind w:left="640" w:hanging="30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R. Augdahl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544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R. Augdahl</w:t>
      </w:r>
    </w:p>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January 7,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2"/>
    </w:lvl>
  </w:abstractNum>
  <w:abstractNum w:abstractNumId="4">
    <w:nsid w:val="2D1D5AE9"/>
    <w:multiLevelType w:val="hybridMultilevel"/>
    <w:lvl w:ilvl="0">
      <w:lvlJc w:val="left"/>
      <w:lvlText w:val="%1."/>
      <w:numFmt w:val="decimal"/>
      <w:start w:val="4"/>
    </w:lvl>
  </w:abstractNum>
  <w:abstractNum w:abstractNumId="5">
    <w:nsid w:val="6763845E"/>
    <w:multiLevelType w:val="hybridMultilevel"/>
    <w:lvl w:ilvl="0">
      <w:lvlJc w:val="left"/>
      <w:lvlText w:val="%1."/>
      <w:numFmt w:val="decimal"/>
      <w:start w:val="5"/>
    </w:lvl>
  </w:abstractNum>
  <w:abstractNum w:abstractNumId="6">
    <w:nsid w:val="75A2A8D4"/>
    <w:multiLevelType w:val="hybridMultilevel"/>
    <w:lvl w:ilvl="0">
      <w:lvlJc w:val="left"/>
      <w:lvlText w:val="%1."/>
      <w:numFmt w:val="decimal"/>
      <w:start w:val="6"/>
    </w:lvl>
  </w:abstractNum>
  <w:abstractNum w:abstractNumId="7">
    <w:nsid w:val="8EDBDAB"/>
    <w:multiLevelType w:val="hybridMultilevel"/>
    <w:lvl w:ilvl="0">
      <w:lvlJc w:val="left"/>
      <w:lvlText w:val="%1."/>
      <w:numFmt w:val="decimal"/>
      <w:start w:val="7"/>
    </w:lvl>
  </w:abstractNum>
  <w:abstractNum w:abstractNumId="8">
    <w:nsid w:val="79838CB2"/>
    <w:multiLevelType w:val="hybridMultilevel"/>
    <w:lvl w:ilvl="0">
      <w:lvlJc w:val="left"/>
      <w:lvlText w:val="%1."/>
      <w:numFmt w:val="decimal"/>
      <w:start w:val="8"/>
    </w:lvl>
  </w:abstractNum>
  <w:abstractNum w:abstractNumId="9">
    <w:nsid w:val="4353D0CD"/>
    <w:multiLevelType w:val="hybridMultilevel"/>
    <w:lvl w:ilvl="0">
      <w:lvlJc w:val="left"/>
      <w:lvlText w:val="%1."/>
      <w:numFmt w:val="decimal"/>
      <w:start w:val="9"/>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lvl w:ilvl="1">
      <w:lvlJc w:val="left"/>
      <w:lvlText w:val="(%2)"/>
      <w:numFmt w:val="decimal"/>
      <w:start w:val="1"/>
    </w:lvl>
  </w:abstractNum>
  <w:abstractNum w:abstractNumId="14">
    <w:nsid w:val="2CA88611"/>
    <w:multiLevelType w:val="hybridMultilevel"/>
    <w:lvl w:ilvl="0">
      <w:lvlJc w:val="left"/>
      <w:lvlText w:val="%1."/>
      <w:numFmt w:val="decimal"/>
      <w:start w:val="13"/>
    </w:lvl>
    <w:lvl w:ilvl="1">
      <w:lvlJc w:val="left"/>
      <w:lvlText w:val="%2"/>
      <w:numFmt w:val="decimal"/>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decimal"/>
      <w:start w:val="2"/>
    </w:lvl>
    <w:lvl w:ilvl="1">
      <w:lvlJc w:val="left"/>
      <w:lvlText w:val="•"/>
      <w:numFmt w:val="bullet"/>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0" Type="http://schemas.openxmlformats.org/officeDocument/2006/relationships/image" Target="media/image62.png"/><Relationship Id="rId73"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69" Type="http://schemas.openxmlformats.org/officeDocument/2006/relationships/hyperlink" Target="https://www.sec.gov/Archives/edgar/data/6845/000119312504079352/dex31.htm" TargetMode="External"/><Relationship Id="rId71" Type="http://schemas.openxmlformats.org/officeDocument/2006/relationships/hyperlink" Target="https://www.sec.gov/Archives/edgar/data/6845/000119312520008887/d874518dex31.htm" TargetMode="External"/><Relationship Id="rId72" Type="http://schemas.openxmlformats.org/officeDocument/2006/relationships/hyperlink" Target="https://www.sec.gov/Archives/edgar/data/0000006845/000000684521000020/apog-ex33arbylawsfinalapri.htm" TargetMode="External"/><Relationship Id="rId74" Type="http://schemas.openxmlformats.org/officeDocument/2006/relationships/hyperlink" Target="https://www.sec.gov/Archives/edgar/data/6845/000162828025049600/exhibit101.htm" TargetMode="External"/><Relationship Id="rId75" Type="http://schemas.openxmlformats.org/officeDocument/2006/relationships/hyperlink" Target="https://www.sec.gov/Archives/edgar/data/6845/000162828025049600/exhibit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2026-01-07T12:16:46Z</dcterms:created>
  <dcterms:modified xsi:type="dcterms:W3CDTF">2026-01-07T12:16:46Z</dcterms:modified>
</cp:coreProperties>
</file>