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August 27, 2022</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 LLC</w:t>
      </w:r>
    </w:p>
    <w:p>
      <w:pPr>
        <w:spacing w:after="0" w:line="9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116"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w:t>
      </w:r>
    </w:p>
    <w:p>
      <w:pPr>
        <w:spacing w:after="0" w:line="10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8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4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69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As of September 26, 2022, 22,208,074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Pr>
          <w:p>
            <w:pPr>
              <w:spacing w:after="0"/>
              <w:rPr>
                <w:sz w:val="22"/>
                <w:szCs w:val="22"/>
                <w:color w:val="auto"/>
              </w:rPr>
            </w:pPr>
          </w:p>
        </w:tc>
        <w:tc>
          <w:tcPr>
            <w:tcW w:w="514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gridSpan w:val="13"/>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4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February 26, 2022</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30"/>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337,892</w:t>
            </w:r>
          </w:p>
        </w:tc>
        <w:tc>
          <w:tcPr>
            <w:tcW w:w="0" w:type="dxa"/>
            <w:vAlign w:val="bottom"/>
          </w:tcPr>
          <w:p>
            <w:pPr>
              <w:spacing w:after="0"/>
              <w:rPr>
                <w:sz w:val="1"/>
                <w:szCs w:val="1"/>
                <w:color w:val="auto"/>
              </w:rPr>
            </w:pPr>
          </w:p>
        </w:tc>
      </w:tr>
      <w:tr>
        <w:trPr>
          <w:trHeight w:val="223"/>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249,995</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0" w:type="dxa"/>
            <w:vAlign w:val="bottom"/>
          </w:tcPr>
          <w:p>
            <w:pPr>
              <w:spacing w:after="0"/>
              <w:rPr>
                <w:sz w:val="1"/>
                <w:szCs w:val="1"/>
                <w:color w:val="auto"/>
              </w:rPr>
            </w:pPr>
          </w:p>
        </w:tc>
      </w:tr>
      <w:tr>
        <w:trPr>
          <w:trHeight w:val="229"/>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92,104</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w:t>
            </w:r>
          </w:p>
        </w:tc>
        <w:tc>
          <w:tcPr>
            <w:tcW w:w="0" w:type="dxa"/>
            <w:vAlign w:val="bottom"/>
          </w:tcPr>
          <w:p>
            <w:pPr>
              <w:spacing w:after="0"/>
              <w:rPr>
                <w:sz w:val="1"/>
                <w:szCs w:val="1"/>
                <w:color w:val="auto"/>
              </w:rPr>
            </w:pPr>
          </w:p>
        </w:tc>
      </w:tr>
      <w:tr>
        <w:trPr>
          <w:trHeight w:val="230"/>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Current portion long-term debt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232,946</w:t>
            </w:r>
          </w:p>
        </w:tc>
        <w:tc>
          <w:tcPr>
            <w:tcW w:w="0" w:type="dxa"/>
            <w:vAlign w:val="bottom"/>
          </w:tcPr>
          <w:p>
            <w:pPr>
              <w:spacing w:after="0"/>
              <w:rPr>
                <w:sz w:val="1"/>
                <w:szCs w:val="1"/>
                <w:color w:val="auto"/>
              </w:rPr>
            </w:pPr>
          </w:p>
        </w:tc>
      </w:tr>
      <w:tr>
        <w:trPr>
          <w:trHeight w:val="223"/>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0" w:type="dxa"/>
            <w:vAlign w:val="bottom"/>
          </w:tcPr>
          <w:p>
            <w:pPr>
              <w:spacing w:after="0"/>
              <w:rPr>
                <w:sz w:val="1"/>
                <w:szCs w:val="1"/>
                <w:color w:val="auto"/>
              </w:rPr>
            </w:pPr>
          </w:p>
        </w:tc>
      </w:tr>
      <w:tr>
        <w:trPr>
          <w:trHeight w:val="230"/>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39,591</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0" w:type="dxa"/>
            <w:vAlign w:val="bottom"/>
          </w:tcPr>
          <w:p>
            <w:pPr>
              <w:spacing w:after="0"/>
              <w:rPr>
                <w:sz w:val="1"/>
                <w:szCs w:val="1"/>
                <w:color w:val="auto"/>
              </w:rPr>
            </w:pPr>
          </w:p>
        </w:tc>
      </w:tr>
      <w:tr>
        <w:trPr>
          <w:trHeight w:val="230"/>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0" w:type="dxa"/>
            <w:vAlign w:val="bottom"/>
          </w:tcPr>
          <w:p>
            <w:pPr>
              <w:spacing w:after="0"/>
              <w:rPr>
                <w:sz w:val="1"/>
                <w:szCs w:val="1"/>
                <w:color w:val="auto"/>
              </w:rPr>
            </w:pPr>
          </w:p>
        </w:tc>
      </w:tr>
      <w:tr>
        <w:trPr>
          <w:trHeight w:val="229"/>
        </w:trPr>
        <w:tc>
          <w:tcPr>
            <w:tcW w:w="7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gridSpan w:val="4"/>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22,209,925 and 23,701,491 respectively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229"/>
        </w:trPr>
        <w:tc>
          <w:tcPr>
            <w:tcW w:w="7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w:t>
            </w:r>
          </w:p>
        </w:tc>
        <w:tc>
          <w:tcPr>
            <w:tcW w:w="0" w:type="dxa"/>
            <w:vAlign w:val="bottom"/>
          </w:tcPr>
          <w:p>
            <w:pPr>
              <w:spacing w:after="0"/>
              <w:rPr>
                <w:sz w:val="1"/>
                <w:szCs w:val="1"/>
                <w:color w:val="auto"/>
              </w:rPr>
            </w:pPr>
          </w:p>
        </w:tc>
      </w:tr>
      <w:tr>
        <w:trPr>
          <w:trHeight w:val="230"/>
        </w:trPr>
        <w:tc>
          <w:tcPr>
            <w:tcW w:w="78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254,825</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386,199</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00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28,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28, 2021</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651,803</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536,091</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115,712</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102,739</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25,637</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August 28, 2021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August 28, 2021</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marketable securities, net of $(28),</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 $(102) and $1 of tax (benefit) expense, respectively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 instruments, net of</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Times New Roman" w:cs="Times New Roman" w:eastAsia="Times New Roman" w:hAnsi="Times New Roman"/>
                <w:sz w:val="18"/>
                <w:szCs w:val="18"/>
                <w:color w:val="auto"/>
              </w:rPr>
              <w:t>$(152), $(203), $(1,469) and $8 of tax (benefit) expense,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August 27, 2022</w:t>
            </w:r>
          </w:p>
        </w:tc>
        <w:tc>
          <w:tcPr>
            <w:tcW w:w="16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August 28, 2021</w:t>
            </w:r>
          </w:p>
        </w:tc>
        <w:tc>
          <w:tcPr>
            <w:tcW w:w="0" w:type="dxa"/>
            <w:vAlign w:val="bottom"/>
          </w:tcPr>
          <w:p>
            <w:pPr>
              <w:spacing w:after="0"/>
              <w:rPr>
                <w:sz w:val="1"/>
                <w:szCs w:val="1"/>
                <w:color w:val="auto"/>
              </w:rPr>
            </w:pP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provided by operating activities: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New Markets Tax Credit transaction, net of deferred costs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of New Markets Tax Credit transaction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Billings in excess of costs and earnings on uncompleted contracts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54,907</w:t>
            </w:r>
          </w:p>
        </w:tc>
        <w:tc>
          <w:tcPr>
            <w:tcW w:w="0" w:type="dxa"/>
            <w:vAlign w:val="bottom"/>
          </w:tcPr>
          <w:p>
            <w:pPr>
              <w:spacing w:after="0"/>
              <w:rPr>
                <w:sz w:val="1"/>
                <w:szCs w:val="1"/>
                <w:color w:val="auto"/>
              </w:rPr>
            </w:pPr>
          </w:p>
        </w:tc>
      </w:tr>
      <w:tr>
        <w:trPr>
          <w:trHeight w:val="20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on debt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debt issue costs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(32,217)</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26, 2022</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149,713</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254,825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386,199</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$74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$1,317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28,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140,785</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208,205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(29,100)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327,290</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$28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$152 tax benefit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0" w:type="dxa"/>
            <w:vAlign w:val="bottom"/>
          </w:tcPr>
          <w:p>
            <w:pPr>
              <w:spacing w:after="0"/>
              <w:rPr>
                <w:sz w:val="1"/>
                <w:szCs w:val="1"/>
                <w:color w:val="auto"/>
              </w:rPr>
            </w:pPr>
          </w:p>
        </w:tc>
      </w:tr>
      <w:tr>
        <w:trPr>
          <w:trHeight w:val="214"/>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27,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141,575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240,245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356,740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0" w:type="dxa"/>
            <w:vAlign w:val="bottom"/>
            <w:gridSpan w:val="3"/>
            <w:vMerge w:val="continue"/>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1"/>
                <w:szCs w:val="11"/>
                <w:color w:val="auto"/>
              </w:rPr>
            </w:pPr>
          </w:p>
        </w:tc>
        <w:tc>
          <w:tcPr>
            <w:tcW w:w="100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060" w:type="dxa"/>
            <w:vAlign w:val="bottom"/>
            <w:gridSpan w:val="2"/>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40" w:type="dxa"/>
            <w:vAlign w:val="bottom"/>
          </w:tcPr>
          <w:p>
            <w:pPr>
              <w:spacing w:after="0"/>
              <w:rPr>
                <w:sz w:val="15"/>
                <w:szCs w:val="15"/>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27, 2021</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8,571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154,958</w:t>
            </w: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357,243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(28,027)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492,745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 net of $0 tax expense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 net of $211tax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17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29, 2021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8,535</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158,341</w:t>
            </w:r>
          </w:p>
        </w:tc>
        <w:tc>
          <w:tcPr>
            <w:tcW w:w="8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352,130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(21,455)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497,551</w:t>
            </w:r>
          </w:p>
        </w:tc>
        <w:tc>
          <w:tcPr>
            <w:tcW w:w="0" w:type="dxa"/>
            <w:vAlign w:val="bottom"/>
          </w:tcPr>
          <w:p>
            <w:pPr>
              <w:spacing w:after="0"/>
              <w:rPr>
                <w:sz w:val="1"/>
                <w:szCs w:val="1"/>
                <w:color w:val="auto"/>
              </w:rPr>
            </w:pPr>
          </w:p>
        </w:tc>
      </w:tr>
      <w:tr>
        <w:trPr>
          <w:trHeight w:val="194"/>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 net of $2 tax expense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instruments, net of $203 tax benefit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96"/>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28,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25,394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8,465</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158,115</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336,398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(26,417)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476,561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26, 2022.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six-month periods ended August 27, 2022 are not necessarily indicative of the results to be expected for the full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06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278,066</w:t>
            </w:r>
          </w:p>
        </w:tc>
      </w:tr>
      <w:tr>
        <w:trPr>
          <w:trHeight w:val="230"/>
        </w:trPr>
        <w:tc>
          <w:tcPr>
            <w:tcW w:w="4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373,737</w:t>
            </w: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 to us from the customer.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4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4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changes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Result of foreign currency effects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0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 to us from the customer.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40" w:type="dxa"/>
            <w:vAlign w:val="bottom"/>
          </w:tcPr>
          <w:p>
            <w:pPr>
              <w:spacing w:after="0"/>
              <w:rPr>
                <w:sz w:val="18"/>
                <w:szCs w:val="18"/>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59,185</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00" w:type="dxa"/>
            <w:vAlign w:val="bottom"/>
          </w:tcPr>
          <w:p>
            <w:pPr>
              <w:spacing w:after="0"/>
              <w:rPr>
                <w:sz w:val="20"/>
                <w:szCs w:val="20"/>
                <w:color w:val="auto"/>
              </w:rPr>
            </w:pPr>
          </w:p>
        </w:tc>
        <w:tc>
          <w:tcPr>
            <w:tcW w:w="30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0"/>
                <w:szCs w:val="20"/>
                <w:color w:val="auto"/>
              </w:rPr>
            </w:pPr>
          </w:p>
        </w:tc>
        <w:tc>
          <w:tcPr>
            <w:tcW w:w="302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175"/>
        </w:trPr>
        <w:tc>
          <w:tcPr>
            <w:tcW w:w="46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related to contract liabilities from prior</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24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r>
      <w:tr>
        <w:trPr>
          <w:trHeight w:val="175"/>
        </w:trPr>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related to prior satisfaction of performance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August 27, 2022 are expected to be satisfied, and the corresponding revenue to be recognized, over the following estimated time periods:</w:t>
      </w:r>
    </w:p>
    <w:p>
      <w:pPr>
        <w:spacing w:after="0" w:line="79" w:lineRule="exact"/>
        <w:rPr>
          <w:sz w:val="20"/>
          <w:szCs w:val="20"/>
          <w:color w:val="auto"/>
        </w:rPr>
      </w:pPr>
    </w:p>
    <w:p>
      <w:pPr>
        <w:ind w:left="20"/>
        <w:spacing w:after="0"/>
        <w:tabs>
          <w:tab w:leader="none" w:pos="9960" w:val="left"/>
        </w:tabs>
        <w:rPr>
          <w:sz w:val="20"/>
          <w:szCs w:val="20"/>
          <w:color w:val="auto"/>
        </w:rPr>
      </w:pPr>
      <w:r>
        <w:rPr>
          <w:rFonts w:ascii="Times New Roman" w:cs="Times New Roman" w:eastAsia="Times New Roman" w:hAnsi="Times New Roman"/>
          <w:sz w:val="13"/>
          <w:szCs w:val="13"/>
          <w:i w:val="1"/>
          <w:i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August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Beyond two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Supplemental Balance Sheet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380"/>
        <w:spacing w:after="0"/>
        <w:tabs>
          <w:tab w:leader="none" w:pos="22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501,856</w:t>
      </w:r>
    </w:p>
    <w:p>
      <w:pPr>
        <w:spacing w:after="0" w:line="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293,561</w:t>
      </w:r>
    </w:p>
    <w:p>
      <w:pPr>
        <w:spacing w:after="0" w:line="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117,867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21590</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 w:lineRule="exact"/>
        <w:rPr>
          <w:sz w:val="20"/>
          <w:szCs w:val="20"/>
          <w:color w:val="auto"/>
        </w:rPr>
      </w:pPr>
    </w:p>
    <w:p>
      <w:pPr>
        <w:jc w:val="both"/>
        <w:ind w:left="1380"/>
        <w:spacing w:after="0"/>
        <w:tabs>
          <w:tab w:leader="none" w:pos="2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913,284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17145</wp:posOffset>
            </wp:positionV>
            <wp:extent cx="968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43180</wp:posOffset>
            </wp:positionV>
            <wp:extent cx="96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August 27, 2022</w:t>
      </w:r>
      <w:r>
        <w:rPr>
          <w:sz w:val="20"/>
          <w:szCs w:val="20"/>
          <w:color w:val="auto"/>
        </w:rPr>
        <w:tab/>
      </w:r>
      <w:r>
        <w:rPr>
          <w:rFonts w:ascii="Times New Roman" w:cs="Times New Roman" w:eastAsia="Times New Roman" w:hAnsi="Times New Roman"/>
          <w:sz w:val="14"/>
          <w:szCs w:val="14"/>
          <w:b w:val="1"/>
          <w:bCs w:val="1"/>
          <w:color w:val="auto"/>
        </w:rPr>
        <w:t>February 26, 2022</w:t>
      </w:r>
    </w:p>
    <w:p>
      <w:pPr>
        <w:spacing w:after="0" w:line="36" w:lineRule="exact"/>
        <w:rPr>
          <w:sz w:val="20"/>
          <w:szCs w:val="20"/>
          <w:color w:val="auto"/>
        </w:rPr>
      </w:pPr>
    </w:p>
    <w:p>
      <w:pPr>
        <w:sectPr>
          <w:pgSz w:w="11900" w:h="16838" w:orient="portrait"/>
          <w:cols w:equalWidth="0" w:num="2">
            <w:col w:w="7640" w:space="720"/>
            <w:col w:w="2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19,809</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40" w:type="dxa"/>
            <w:vAlign w:val="bottom"/>
          </w:tcPr>
          <w:p>
            <w:pPr>
              <w:spacing w:after="0"/>
              <w:rPr>
                <w:sz w:val="24"/>
                <w:szCs w:val="2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February 26, 2022</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40" w:type="dxa"/>
            <w:vAlign w:val="bottom"/>
          </w:tcPr>
          <w:p>
            <w:pPr>
              <w:spacing w:after="0"/>
              <w:rPr>
                <w:sz w:val="18"/>
                <w:szCs w:val="18"/>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February 26, 2022</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Markets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44,583</w:t>
            </w: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27,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26, 2022</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bonds at August 27, 2022, by contractual maturity, are shown below. Expected maturities may differ from contractual maturities, as borrowers may have the right to call or prepay obligations with or without penalty.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our floating-rate revolving credit facility and term loan. As of August 27, 2022, the interest rate swap contract had a notional value of $30.0 million.</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August 27, 2022, we held foreign exchange forward contracts and aluminum fixed/floating swaps with U.S. dollar notional values of $3.2 million and $12.2 million, respectively.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27,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26, 2022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measure certain financial instruments at fair value on a nonrecurring basis including goodwill, intangible assets, property and equipment and right-of-use lease assets. These assets were initially measured and recognized at amounts equal to the fair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21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addition, for all reporting units, no qualitative indicators of impairment were identified during the first quarter, and therefore, no interim quantitative goodwill impairment evaluation was performed.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carrying amount of goodwill attributable to each reporting segment including the amount of goodwill that was reallocated from the Architectural Framing Systems segment to the Architectural Services segment using the relative fair value approach during the first quarter of fiscal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Services</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34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5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130,102</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Reallocation among reporting units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27, 2022</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right="220" w:firstLine="6"/>
        <w:spacing w:after="0" w:line="224" w:lineRule="auto"/>
        <w:tabs>
          <w:tab w:leader="none" w:pos="16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reallocation of goodwill as a result of transitioning Sotawall from the Architectural Framing Systems segment to the Architectural Services segment as of the start of the first quarter of fiscal 2023.</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the impairment analysis performed in the fourth quarter of fiscal 2022, the fair value of each of our trade names and trademarks exceeded the carrying amount. However, due to triggering events identified in the fourth quarter of fiscal 2022, resulting from the finalization of our plans for integrating the Sotawall business into the Architectural Services segment, beginning in fiscal 2023, we determined that the carrying value of the Sotawall trade name exceeded fair value by $12.7 million. We determined that Sotawall had an immaterial fair value, resulting in the trade name being fully impaired as of fiscal 2022 year-end. We recognized this amount as impairment expense in the fourth quarter ended February 26,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Long-lived assets or asset groups, including intangible assets subject to amortization and property and equipment, are reviewed for impairment whenever events or changes in circumstances indicate that the carrying value of those assets may not be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recoverable. We use undiscounted cash flows to determine whether impairment exists and measure any impairment loss using discounted cash flows to determine the fair value of long-lived assets. Due to triggering events identified during the fourth quarter of fiscal 2022, as a result of finalization of our plans for integrating the Sotawall business into the Architectural Services segment, beginning in fiscal 2023, we determined that the finite-lived intangible assets of Sotawall were impaired as of February 26, 2022. As such, we recognized a long-lived asset impairment charge of $36.7 million in finite-lived intangible assets in the fourth quarter of fiscal year 2022, within the Architectural Framing Systems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 Expense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27, 2022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39,942</w:t>
            </w: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26, 2022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$2.1 million and $3.9 million for the six-month periods ended August 27, 2022 and August 28, 2021, respectively. Amortization expense of other identifiable intangible assets is included in selling, general and administrative expenses. At August 27, 2022, the estimated future amortization expense for definite-lived intangible assets was: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 of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0"/>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r>
    </w:tbl>
    <w:p>
      <w:pPr>
        <w:spacing w:after="0" w:line="30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ended August 27, 2022, we amended and extended our committed revolving credit facility to include maximum borrowings of up to $385 million with a maturity of August 2027. As part of the amendment, we repaid the $150 million term loan with borrowings under the revolving credit facility. As of August 27, 2022, outstanding borrowings under our revolving credit facility were $235.0 million, while there were no outstanding borrowings under the revolving credit facility as of February 26, 2022.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credit facility contains two financial covenants that require us to stay below a maximum debt-to-EBITDA ratio and maintain a minimum ratio of EBITDA-to-interest expense. Both ratios are computed quarterly, with EBITDA calculated on a rolling four-quarter basis. At August 27, 2022, we were in compliance with both financial covenants. Additionally, at August 27, 2022, we had a total of $12.3 million of ongoing letters of credit related to industrial revenue bonds, construction contracts and insurance collateral that expire in fiscal years 2023 to 2032 and reduce borrowing capacity under the revolving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August 27, 2022, debt included $12.0 million of industrial revenue bonds that mature in fiscal years 2036 through 2043. In March 2022, a $1.0 million industrial revenue bond matured and was repaid. The fair value of all industrial revenue bonds approximated carrying value at August 27, 2022, due to the variable interest rates on these instruments. Our credit facility, term loan and industrial revenue bonds would be classified as Level 2 within the fair value hierarchy described in Note 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At August 27, 2022, outstanding borrowings under our Canadian committed, revolving credit facilities were $3.8 million, while there were no outstanding borrowings under the Canadian facilities as of February 26,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$2.8 million and $1.9 million for the six months ended August 27, 2022 and August 28,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0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6"/>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7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weighted-average data)</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7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7,186</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54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4"/>
        </w:trPr>
        <w:tc>
          <w:tcPr>
            <w:tcW w:w="7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27, 2022</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46,123</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August 27, 2022, $1.1 billion of these types of bonds were outstanding, of which $361.1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0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2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w:t>
            </w:r>
          </w:p>
        </w:tc>
      </w:tr>
      <w:tr>
        <w:trPr>
          <w:trHeight w:val="21"/>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August 27, 2022, we had $12.3 million of ongoing letters of credit, all of which have been issued under our committed revolving credit facility, as discussed in Note 6. We also have a $3.4 million letter of credit which has been issued outside our committed revolving credit facility, with no impact on our borrowing capacity and debt covenants.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$225.2 million as of August 27,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three outstanding NMTC arrangements which help to support operational expansion. Proceeds received from investors on these transactions are included within other current and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 project, we are required to hold cash dedicated to fund each capital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2023, one NMTC transaction was terminated, and a new NMTC transaction was established as a replacement. As a result of these transactions, $19.5 million in previous proceeds received were repaid and $19.5 million was contributed back to the Company as part of the newly established NMTC transaction. This NMTC transaction will be held for the remainder of the original seven-year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outstanding NMTC transactions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$3.4 million for the six-month period ended August 27, 2022 and $3.3 million for the six-month period ended August 28,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SAR activity for the current six-month period is summarized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4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15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7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7"/>
                <w:szCs w:val="17"/>
                <w:color w:val="auto"/>
              </w:rPr>
            </w:pP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0.9 years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2,000,280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end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0.9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2,000,280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six-months ended August 27, 2022, there were no cash proceeds from the exercise of stock options as all stock options were exercised on a stock for stock basis. The aggregate intrinsic value of securities exercised (the amount by which the stock price on the date of exercise exceeded the stock price of the award on the date of grant) was $2.7 million. For the six-months ended August 28, 2021, cash proceeds from the exercise of stock options was $4.1 million and the aggregate intrinsic value of securities exercised (the amount by which the stock price on the date of exercise exceeded the stock price of the award on the date of grant) was $2.3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2022, the Compensation Committee of the Board of Directors implemented an executive compensation program for certain key employees. In the each of the first quarters of fiscal 2023 and fiscal 2022, we issued performance shares in the form of nonvested share unit awards, which give the recipient the right to receive shares earned at the end of the respective performance periods. The number of share units issued at grant is equal to the target number of performance shares and allows for the right to receive a variable number of shares dependent on achieving a defined performance goal of return on invested capital and being employed at the end of the performance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 awards and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including performance share units, for the current six-month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9"/>
        </w:trPr>
        <w:tc>
          <w:tcPr>
            <w:tcW w:w="8080" w:type="dxa"/>
            <w:vAlign w:val="bottom"/>
            <w:gridSpan w:val="2"/>
            <w:vMerge w:val="continue"/>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Nonvested at February 26, 2022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23"/>
                <w:szCs w:val="23"/>
                <w:color w:val="auto"/>
                <w:vertAlign w:val="superscript"/>
              </w:rPr>
              <w:t>(3)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Nonvested at August 27, 2022</w:t>
            </w:r>
            <w:r>
              <w:rPr>
                <w:rFonts w:ascii="Times New Roman" w:cs="Times New Roman" w:eastAsia="Times New Roman" w:hAnsi="Times New Roman"/>
                <w:sz w:val="23"/>
                <w:szCs w:val="23"/>
                <w:color w:val="auto"/>
                <w:vertAlign w:val="superscript"/>
              </w:rPr>
              <w:t>(4)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50,825 nonvested share units granted and outstanding at target level for the fiscal 2022-2024 performance period.</w:t>
      </w:r>
    </w:p>
    <w:p>
      <w:pPr>
        <w:spacing w:after="0" w:line="27" w:lineRule="exact"/>
        <w:rPr>
          <w:rFonts w:ascii="Times New Roman" w:cs="Times New Roman" w:eastAsia="Times New Roman" w:hAnsi="Times New Roman"/>
          <w:sz w:val="14"/>
          <w:szCs w:val="14"/>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38,564 nonvested share units granted and outstanding at target level for the fiscal 2023-2025 performance period.</w:t>
      </w:r>
    </w:p>
    <w:p>
      <w:pPr>
        <w:spacing w:after="0" w:line="14" w:lineRule="exact"/>
        <w:rPr>
          <w:rFonts w:ascii="Times New Roman" w:cs="Times New Roman" w:eastAsia="Times New Roman" w:hAnsi="Times New Roman"/>
          <w:sz w:val="14"/>
          <w:szCs w:val="14"/>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9,690 nonvested share units cancelled for the fiscal 2022-2024 and fiscal 2023-2025 performance periods.</w:t>
      </w:r>
    </w:p>
    <w:p>
      <w:pPr>
        <w:spacing w:after="0" w:line="14" w:lineRule="exact"/>
        <w:rPr>
          <w:rFonts w:ascii="Times New Roman" w:cs="Times New Roman" w:eastAsia="Times New Roman" w:hAnsi="Times New Roman"/>
          <w:sz w:val="14"/>
          <w:szCs w:val="14"/>
          <w:color w:val="auto"/>
        </w:rPr>
      </w:pPr>
    </w:p>
    <w:p>
      <w:pPr>
        <w:ind w:left="860" w:hanging="204"/>
        <w:spacing w:after="0"/>
        <w:tabs>
          <w:tab w:leader="none" w:pos="8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total of 45,207 and 34,492 nonvested share units granted and outstanding at target level for the 2022-2024 and 2023-2025 performance periods, respectively.</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August 27, 2022, there was $12.8 million of total unrecognized compensation cost related to nonvested share and nonvested share unit awards, which is expected to be recognized over a weighted average period of approximately 27 months. The total fair value of shares vested during the six months ended August 27, 2022 was $3.8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2019, or state and local income tax examinations for years prior to fiscal 2013. The Company is not currently under U.S. federal examination for years subsequent to fiscal year 2018, and there is very limited audit activity of the Company’s income tax returns in U.S. state jurisdictions or international jurisdictions.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2023, the Company claimed certain tax deductions, including a worthless stock loss deduction, related to its investment in Sotawall Limited, a Canadian subsidiary. These deductions generated a net tax benefit of $13.7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was $5.3 million at August 27, 2022, compared to $3.3 million at February 26, 2022. The increase was primarily related to the tax deductions claimed during the second quarter of fiscal 2023 associated with the Company's investment in Sotawall Limited, a Canadian subsidiary. Penalties and interest related to unrecognized tax benefits are recorded in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jc w:val="both"/>
        <w:ind w:left="180" w:right="20" w:hanging="161"/>
        <w:spacing w:after="0" w:line="237" w:lineRule="auto"/>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p>
      <w:pPr>
        <w:spacing w:after="0" w:line="10" w:lineRule="exact"/>
        <w:rPr>
          <w:sz w:val="20"/>
          <w:szCs w:val="20"/>
          <w:color w:val="auto"/>
        </w:rPr>
      </w:pPr>
    </w:p>
    <w:p>
      <w:pPr>
        <w:jc w:val="both"/>
        <w:ind w:left="180" w:hanging="161"/>
        <w:spacing w:after="0" w:line="237" w:lineRule="auto"/>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p>
      <w:pPr>
        <w:spacing w:after="0" w:line="10" w:lineRule="exact"/>
        <w:rPr>
          <w:sz w:val="20"/>
          <w:szCs w:val="20"/>
          <w:color w:val="auto"/>
        </w:rPr>
      </w:pPr>
    </w:p>
    <w:p>
      <w:pPr>
        <w:jc w:val="both"/>
        <w:ind w:left="180" w:hanging="161"/>
        <w:spacing w:after="0" w:line="237" w:lineRule="auto"/>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 outstanding</w:t>
      </w:r>
    </w:p>
    <w:p>
      <w:pPr>
        <w:spacing w:after="0" w:line="10" w:lineRule="exact"/>
        <w:rPr>
          <w:sz w:val="20"/>
          <w:szCs w:val="20"/>
          <w:color w:val="auto"/>
        </w:rPr>
      </w:pPr>
    </w:p>
    <w:p>
      <w:pPr>
        <w:jc w:val="both"/>
        <w:ind w:left="180" w:hanging="161"/>
        <w:spacing w:after="0" w:line="226" w:lineRule="auto"/>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effect was anti-dilutive (award price greater than average market price of the shares)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2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16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5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16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5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418"/>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418"/>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372"/>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0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25,637</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60"/>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-642620</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-1182370</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71" w:lineRule="exact"/>
        <w:rPr>
          <w:sz w:val="20"/>
          <w:szCs w:val="20"/>
          <w:color w:val="auto"/>
        </w:rPr>
      </w:pPr>
    </w:p>
    <w:p>
      <w:pPr>
        <w:sectPr>
          <w:pgSz w:w="11900" w:h="16838" w:orient="portrait"/>
          <w:cols w:equalWidth="0" w:num="2">
            <w:col w:w="4660" w:space="120"/>
            <w:col w:w="6460"/>
          </w:cols>
          <w:pgMar w:left="320" w:top="121"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right="2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w:t>
      </w:r>
      <w:r>
        <w:rPr>
          <w:rFonts w:ascii="Times New Roman" w:cs="Times New Roman" w:eastAsia="Times New Roman" w:hAnsi="Times New Roman"/>
          <w:sz w:val="18"/>
          <w:szCs w:val="18"/>
          <w:color w:val="auto"/>
        </w:rPr>
        <w:t xml:space="preserve"> segment designs, engineers, fabricates and finishes aluminum window, curtainwall, storefront and entrance systems for the exterior of buildings.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building glass and curtainwall systems.</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coats and fabricates, high-performance glass used in custom window and wall systems on commercial buildings.</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w:t>
      </w:r>
      <w:r>
        <w:rPr>
          <w:rFonts w:ascii="Times New Roman" w:cs="Times New Roman" w:eastAsia="Times New Roman" w:hAnsi="Times New Roman"/>
          <w:sz w:val="18"/>
          <w:szCs w:val="18"/>
          <w:color w:val="auto"/>
        </w:rPr>
        <w:t xml:space="preserve"> segment manufactures high-performance glass and acrylic products for custom framing, museum, and technical glass markets.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fiscal 2022 segment results were recast for comparability.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273,741</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187,102</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162,404</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(19,215)</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23"/>
        </w:trPr>
        <w:tc>
          <w:tcPr>
            <w:tcW w:w="4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11, 2021, we announced plans to realign and simplify our business structure. During the first quarter of fiscal 2023, we completed the execution of these plans with the sale of the remaining manufacturing assets at our Architectural Glass location, in Dallas, Texas, for $4.1 million. The remaining assets had a carrying value of $3.4 million, and we recognized a gain on the sale of approximately $0.6 million, net of associated transaction costs, which is included as a reduction of cost of sales within our consolidated statements of operations.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costs and other current liabilities in the consolidated balance sheets. All balances are expected to be paid within the current fiscal year.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Architectural Framing</w:t>
            </w: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38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26, 2022</w:t>
            </w: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5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27, 2022</w:t>
            </w: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26, 2022 and in subsequent filings with the U.S. Securities and Exchange Commission, including this Quarterly Report on Form 10-Q.</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leader in the design and development of value-added glass and metal products and services. Our four reporting segments are: Architectural Framing Systems, Architectural Glass, Architectural Services and Large-Scale Optical (LSO).</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fiscal 2022, we conducted a strategic review of our business and the markets we serve in order to establish a new enterprise strategy with three key elements, as discussed below:</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will achieve this by developing a deep understanding of our target markets and aligning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businesses with clear go-to-market strategies to drive value for our customers through differentiated product and service offerings. We will also build a relentless focus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intend to shift our business mix toward higher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and improve our return on invested capital performance. We will accomplish this by allocating resources to grow our top performing businesses, actively addressing underperforming businesses, and investing to add new differentiated product and service offerings to accelerate our growth.</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We are establishing a Company-wide operating system with common tools and processes that are based on the foundation of Lean and Continuous Improvement. This will be supported by a robust talent management program and a commitment to strong governance to ensure compliance and drive sustainable performance.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first quarter of fiscal 2023, we began management of the Sotawall and Harmon businesses under the Architectural Services segment in order to create a single, unified offering for larger custom curtainwall projects. The comparative fiscal 2022 segment results for the Architectural Framing Systems and Architectural Services segments have been recast to reflect the move of the Sotawall business into the Architectural Services segment from the Architectural Framing Systems segment, effective at the start of the first quarter of fiscal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26, 2022 and the consolidated financial statements, including the notes to consolidated financial statements,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Second Quarter of Fiscal 2023 Compared to Second Quarter of Fiscal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net sales increased 14.2 percent, or $46.3 million, and 11.8 percent, or $76.9 million, for the three- and six-month periods ended August 27, 2022, compared to the same periods in the prior year, primarily driven by flow-through from pricing actions taken to offset inflation within the Architectural Framing Systems segment and volume growth within the Architectural Services segment.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40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80" w:type="dxa"/>
            <w:vAlign w:val="bottom"/>
            <w:gridSpan w:val="3"/>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4460" w:type="dxa"/>
            <w:vAlign w:val="bottom"/>
          </w:tcPr>
          <w:p>
            <w:pPr>
              <w:spacing w:after="0"/>
              <w:rPr>
                <w:sz w:val="16"/>
                <w:szCs w:val="16"/>
                <w:color w:val="auto"/>
              </w:rPr>
            </w:pPr>
          </w:p>
        </w:tc>
        <w:tc>
          <w:tcPr>
            <w:tcW w:w="17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6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00" w:type="dxa"/>
            <w:vAlign w:val="bottom"/>
          </w:tcPr>
          <w:p>
            <w:pPr>
              <w:spacing w:after="0"/>
              <w:rPr>
                <w:sz w:val="16"/>
                <w:szCs w:val="16"/>
                <w:color w:val="auto"/>
              </w:rPr>
            </w:pPr>
          </w:p>
        </w:tc>
        <w:tc>
          <w:tcPr>
            <w:tcW w:w="17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6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82.2</w:t>
            </w:r>
          </w:p>
        </w:tc>
      </w:tr>
      <w:tr>
        <w:trPr>
          <w:trHeight w:val="22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6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Gross profit as a percent of sales (gross margin) was 22.8 percent and 23.4 percent for the three- and six-month periods ended August 27, 2022, compared to 14.7 percent and 17.8 percent for the three- and six-month periods ended August 28, 2021. Both period increases in gross margin were driven by inflation-related pricing actions in the Architectural Framing Systems segment and benefits from restructuring actions completed in the second quarter of the prior year in the Architectural Glass and Architectural Framing Systems segments. The prior-year periods included $18.5 million of restructuring charges which were incurred in the second quarter and were recorded in costs of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SG&amp;A expenses as a percent of sales were 14.2 percent and 14.4 percent for the three- and six-month periods ended August 27, 2022, compared to 15.7 percent and 15.8 percent for the prior year three- and six-month periods. SG&amp;A decreased as a percent of sales compared to the same period in the prior year primarily due to the benefits realized from previously completed restructuring 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effective income tax rate in the second quarter of fiscal 2023 was a benefit of 23.8 percent, compared to expense of 47.6 percent in the same period last year, and 1.3 percent for the first six months of fiscal 2023, compared to 16.8 percent in the prior year. In the second quarter of fiscal 2023, the Company claimed certain tax deductions, including a worthless stock loss deduction, related to its investment in Sotawall Limited, a Canadian subsidiary. These deductions generated a net tax benefit of $13.7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23"/>
        </w:trPr>
        <w:tc>
          <w:tcPr>
            <w:tcW w:w="1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780" w:type="dxa"/>
            <w:vAlign w:val="bottom"/>
            <w:gridSpan w:val="3"/>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4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1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172,867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136,973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336,159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273,741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3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8,381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44,177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16,752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163.7 %</w:t>
            </w:r>
          </w:p>
        </w:tc>
      </w:tr>
      <w:tr>
        <w:trPr>
          <w:trHeight w:val="22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85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Framing Systems net sales increased $35.9 million, or 26.2 percent, and $62.4 million, or 22.8 percent, for the three- and six-month periods ended August 27, 2022, compared to the prior year periods, primarily driven by inflation-related pricing actions and a more favorable sales mix.</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Operating margin increased 580 basis points and 700 basis points for the three- and six-month periods of the current year, compared to the same periods in the prior year, reflecting improved pricing and mix, and the benefits from restructuring actions completed in the prior year, which further strengthened our competitive position and offset the impact of cost inflation. The second quarter of the prior fiscal year included $2.0 million of restructuring costs, which reduced operating margin by 150 and 80 basis points for the three- and six-month periods of the prior fiscal year.</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of August 27, 2022, segment backlog was approximately $286 million, compared to approximately $310 million at the end of the prior quarter of the current fiscal year.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23"/>
        </w:trPr>
        <w:tc>
          <w:tcPr>
            <w:tcW w:w="1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0" w:type="dxa"/>
            <w:vAlign w:val="bottom"/>
            <w:gridSpan w:val="3"/>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5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1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106,732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96,370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210,120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187,102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Architectural Services net sales increased $10.4 million, or 10.8 percent, and $23.0 million, or 12.3 percent for the three- and six-month periods ended August 27, 2022, compared to the same periods in the prior year, driven by increased volume from executing projects in backlog.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margin decreased 230 basis points and 210 basis points in the three- and six-month periods of the current year, compared to the same periods in the prior year, primarily reflecting increased costs for investments to support future growth and impact of performance write-downs on a discrete number of projects, partially offset by higher volume.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August 27, 2022, segment backlog was approximately $785 million, compared to approximately $681 million at the end of the prior quarter of the current fiscal year, driven by significant new project wins in the transportation and healthcare markets. Segment backlog at the end of the second quarter of fiscal 2022 was approximately $716 million. Backlog, a non-GAAP financial measure, is described within the Architectural Framing Systems discussion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tcPr>
          <w:p>
            <w:pPr>
              <w:spacing w:after="0"/>
              <w:rPr>
                <w:sz w:val="16"/>
                <w:szCs w:val="16"/>
                <w:color w:val="auto"/>
              </w:rPr>
            </w:pPr>
          </w:p>
        </w:tc>
      </w:tr>
      <w:tr>
        <w:trPr>
          <w:trHeight w:val="23"/>
        </w:trPr>
        <w:tc>
          <w:tcPr>
            <w:tcW w:w="1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5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1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77,352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79,373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153,617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162,404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84"/>
        </w:trPr>
        <w:tc>
          <w:tcPr>
            <w:tcW w:w="18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6"/>
                <w:szCs w:val="16"/>
                <w:color w:val="auto"/>
              </w:rPr>
            </w:pPr>
          </w:p>
        </w:tc>
        <w:tc>
          <w:tcPr>
            <w:tcW w:w="132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8"/>
                <w:szCs w:val="18"/>
                <w:color w:val="auto"/>
              </w:rPr>
              <w:t>(16,995)</w:t>
            </w:r>
          </w:p>
        </w:tc>
        <w:tc>
          <w:tcPr>
            <w:tcW w:w="100" w:type="dxa"/>
            <w:vAlign w:val="bottom"/>
          </w:tcPr>
          <w:p>
            <w:pPr>
              <w:spacing w:after="0"/>
              <w:rPr>
                <w:sz w:val="16"/>
                <w:szCs w:val="16"/>
                <w:color w:val="auto"/>
              </w:rPr>
            </w:pPr>
          </w:p>
        </w:tc>
        <w:tc>
          <w:tcPr>
            <w:tcW w:w="15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138.0 %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8"/>
                <w:szCs w:val="18"/>
                <w:color w:val="auto"/>
              </w:rPr>
              <w:t>11,626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95"/>
              <w:spacing w:after="0" w:line="184" w:lineRule="exact"/>
              <w:rPr>
                <w:sz w:val="20"/>
                <w:szCs w:val="20"/>
                <w:color w:val="auto"/>
              </w:rPr>
            </w:pPr>
            <w:r>
              <w:rPr>
                <w:rFonts w:ascii="Times New Roman" w:cs="Times New Roman" w:eastAsia="Times New Roman" w:hAnsi="Times New Roman"/>
                <w:sz w:val="18"/>
                <w:szCs w:val="18"/>
                <w:color w:val="auto"/>
              </w:rPr>
              <w:t>(14,867)</w:t>
            </w:r>
          </w:p>
        </w:tc>
        <w:tc>
          <w:tcPr>
            <w:tcW w:w="10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178.2 %</w:t>
            </w:r>
          </w:p>
        </w:tc>
      </w:tr>
      <w:tr>
        <w:trPr>
          <w:trHeight w:val="23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$2.0 million, or 2.5 percent, and $8.8 million, or 5.4 percent for the three- and six-month periods ended August 27, 2022, compared to the same periods in the prior year, primarily reflecting lower volume, partially offset by improved pricing.</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current quarter, the segment had operating income of $6.5 million and operating margin of 8.3 percent, compared to operating loss of $17.0 million and negative operating margin of 21.4 percent in the same period of the prior year. The prior year second quarter included $17.4 million of restructuring costs, while the current year second quarter reflects improved pricing, productivity gains, and the positive impacts of restructuring actions completed during the prior year, all of which offset the impact of inflation. For the six months ended August 27, 2022, the segment had operating income of $11.6 million and operating margin of 7.6 percent, compared to operating loss of $14.9 million and negative operating margin of 9.2 percent 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same period of the prior year, primarily related to the restructuring costs incurred during the second quarter of prior fiscal year, as well as productivity gains and improved pricing during the current year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23"/>
        </w:trPr>
        <w:tc>
          <w:tcPr>
            <w:tcW w:w="1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20" w:type="dxa"/>
            <w:vAlign w:val="bottom"/>
            <w:gridSpan w:val="3"/>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50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28, 2021</w:t>
            </w:r>
          </w:p>
        </w:tc>
        <w:tc>
          <w:tcPr>
            <w:tcW w:w="11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23,543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50,328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47,771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9"/>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LSO net sales increased $1.6 million, or 6.9 percent, and $2.6 million, or 5.4 percent, for the three- and six-month periods ended August 27, 2022, compared to the same periods in the prior year, primarily driven by higher volume.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50 basis points and 110 basis points in the three- and six-month periods of the current year, compared to the same periods in the prior year, primarily reflecting higher volume and improved pricing, partially offset by cost inflation.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8"/>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27, 2022</w:t>
            </w:r>
          </w:p>
        </w:tc>
        <w:tc>
          <w:tcPr>
            <w:tcW w:w="200" w:type="dxa"/>
            <w:vAlign w:val="bottom"/>
          </w:tcPr>
          <w:p>
            <w:pPr>
              <w:spacing w:after="0"/>
              <w:rPr>
                <w:sz w:val="16"/>
                <w:szCs w:val="16"/>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28, 2021</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54,907</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r>
      <w:tr>
        <w:trPr>
          <w:trHeight w:val="229"/>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on debt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(22,419)</w:t>
            </w:r>
          </w:p>
        </w:tc>
      </w:tr>
      <w:tr>
        <w:trPr>
          <w:trHeight w:val="23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used by operating activities was $2.6 million for the first six months of fiscal 2023, compared to $54.9 million of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operating activities in the prior year period, reflecting increased working capital related to revenue growth and inflation.</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$4.7 million for the first six months of fiscal 2023, driven primarily by capital expenditures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$9.3 million, partially offset by proceeds received from sales of property, plant and equipment of $4.1 million. In the first six months of the prior year, net cash used by investing activities was $8.8 million, primarily driven by capital expenditures of $10.1 million.</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$0.5 million for the first six months of fiscal 2023, compared to net cash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activities of $32.2 million in the prior year period. The current year period was primarily driven by net debt borrowings of $87.9 million, partially offset by share repurchases totaling $74.3 million, compared to $22.4 million in the prior year period.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paid dividends totaling $9.6 million ($0.4400 per share) in the first six months of fiscal 2023, compared to $10.1 million ($0.4000 per share) in the comparable prior year period. During the first six months of fiscal 2023, we repurchased 1,571,139 shares under our authorized share repurchase program, for a total cost of $74.3 million. In the first six months of fiscal 2022, we repurchased 589,533 shares under the share repurchase program, for a total cost of $22.0 million. Since the inception of the share repurchase program in 2004, we have purchased a total of 10,996,601 shares, at a total cost of $381.6 million. As of August 27, 2022, we had remaining authority to repurchase an additional 1,253,399 shares under this program. We will continue to evaluate making future share repurchases, considering our cash flow, debt levels and market conditions, in the context of all our capital allocation options, with the goal of maximizing long-term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capital needs and availability of resources in view of inventory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levels, expansion plans, and other working capital needs.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ended August 27, 2022, we amended and extended our committed revolving credit facility to include maximum borrowings of up to $385 million with a maturity of August 2027. As part of the amendment, we repaid the $150 million term loan with borrowings under the revolving credit facility. As of August 27, 2022, outstanding borrowings under our revolving credit facility were $235.0 million, while there were no outstanding borrowings under the revolving credit facility as of February 26, 2022. We are required to make periodic interest payments on our outstanding indebtedness, and future interest payments will be determined based on the amount of outstanding borrowings and prevailing interest rates during that time.</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revolving credit facility contains two financial covenants that require us to stay below a maximum debt-to-EBITDA ratio and maintain a minimum ratio of EBITDA-to-interest expense. Both ratios are computed quarterly, with EBITDA calculated on a rolling four-quarter basis. At August 27, 2022, we were in compliance with both financial covenants.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$49.3 million at August 27, 2022, with $6.7 million payable during the remainder of fiscal 2023.</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27, 2022, we had $225.2 million of open purchase obligations, of which payments totaling $117.8 million are expected to become due within the remainder of fiscal 2023.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2023, which will equal or exceed our minimum funding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27, 2022, we had reserves of $5.3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August 27, 2022, $1.1 billion of these types of bonds were outstanding, of which $361.1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calendar year 2020, we took advantage of the option to defer remittance of the employer portion of Social Security tax as provided in the Coronavirus Aid, Relief, and Economic Security Act. This deferral allowed us to retain cash during calendar year 2020 that would have otherwise been remitted to the federal government. We paid our first installment of these deferred social security taxes, totaling approximately $6.8 million, in the fourth quarter of fiscal 2022, and expect to pay our second installment of approximately $6.8 million in the fourth quarter of fiscal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for the foreseeable future. We also believe we will be able to operate our business so as to continue to be in compliance with our existing debt covenants over the next fiscal year.</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Based on our second-quarter results and increasing confidence in our outlook, we have raised our guidance for full-year adjusted earnings to a range of $3.75 to $4.05 per diluted* share, up from the previously announced range of $3.50 to $3.90. We expect full year revenue growth of 8 to 10 percent, primarily driven by growth in our Architectural Framing Systems segment. The company continues to expect full-year capital expenditures of approximately $40 million.</w:t>
      </w:r>
    </w:p>
    <w:p>
      <w:pPr>
        <w:spacing w:after="0" w:line="212" w:lineRule="exact"/>
        <w:rPr>
          <w:sz w:val="20"/>
          <w:szCs w:val="20"/>
          <w:color w:val="auto"/>
        </w:rPr>
      </w:pPr>
    </w:p>
    <w:p>
      <w:pPr>
        <w:jc w:val="both"/>
        <w:ind w:firstLine="8"/>
        <w:spacing w:after="0" w:line="250" w:lineRule="auto"/>
        <w:tabs>
          <w:tab w:leader="none" w:pos="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non-GAAP guidance on adjusted earnings per diluted share (“Adjusted EPS”) to GAAP guidance is not available on a forward-looking basis without unreasonable effort due to the uncertainty of the magnitude and timing of future adjustments. These adjustments may include the impact of such items as impairment charges, restructuring costs, acquired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project-related charges, and gains or losses from significant asset sales. Accordingly, the company is unable to provide a reconciliation of Adjusted EPS to the most directly comparable GAAP financial measure or address the probable significance of the unavailable information, which could be material to the company's future financial results computed in accordance with GAAP.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26,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February 26, 2022, except as noted below.</w:t>
      </w:r>
    </w:p>
    <w:p>
      <w:pPr>
        <w:spacing w:after="0" w:line="205" w:lineRule="exact"/>
        <w:rPr>
          <w:sz w:val="20"/>
          <w:szCs w:val="20"/>
          <w:color w:val="auto"/>
        </w:rPr>
      </w:pPr>
    </w:p>
    <w:p>
      <w:pPr>
        <w:ind w:right="5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indefinite-lived intangible assets and long-lived assets </w:t>
      </w:r>
      <w:r>
        <w:rPr>
          <w:rFonts w:ascii="Times New Roman" w:cs="Times New Roman" w:eastAsia="Times New Roman" w:hAnsi="Times New Roman"/>
          <w:sz w:val="18"/>
          <w:szCs w:val="18"/>
          <w:i w:val="1"/>
          <w:iCs w:val="1"/>
          <w:color w:val="auto"/>
        </w:rPr>
        <w:t>Goodwill</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2023, we began management of the Sotawall and Harmon businesses under the Architectural Services segment in order to create a single, unified offering for larger custom curtainwall projects which resulted in the combination of the Sotawall and Harmon reporting units into a single reporting unit. We evaluated goodwill on a qualitative basis prior to and subsequent to this change for these reporting units and concluded that no adjustment to the carrying value of goodwill was necessary. Concurrent with the move of Sotawall from the Architectural Framing Systems segment to the Architectural Services segment effective at the start of our first quarter of fiscal 2023, goodwill was reallocated to the affected reporting units within each segment, using a relative fair value approach as outlined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In addition, for all reporting units, no qualitative indicators of impairment were identified during the first quarter, and therefore, no interim quantitative goodwill impairment evaluation was performed.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February 26, 2022 for a discussion of the Company’s market risk. There have been no material changes in market risk since February 26, 2022.</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Interim Chief Financial Officer, of the effectiveness of the design and operation of our disclosure controls and procedures (as defined in Rules 13a-15(e) or 15d-15(e) of the Securities Exchange Act of 1934, as amended (the Exchange Act)). Based upon that evaluation, the Chief Executive Officer and Interim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Interim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August 27, 2022,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26, 2022.</w:t>
      </w: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second quarter of fiscal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29, 2022 to June 25, 2022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26, 2022 to July 23, 2022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24, 2022 to August 27,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1,253,399</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line="271" w:lineRule="auto"/>
        <w:tabs>
          <w:tab w:leader="none" w:pos="65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surrendered to us by plan participants to satisfy withholding tax obligations related to share-based compensation. We did not purchase any shares pursuant to our publicly announce repurchase program during the fiscal quarter.</w:t>
      </w:r>
    </w:p>
    <w:p>
      <w:pPr>
        <w:jc w:val="both"/>
        <w:ind w:left="660" w:hanging="652"/>
        <w:spacing w:after="0" w:line="264"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and January 14, 2022. The repurchase program does not have an expiration date.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00" w:type="dxa"/>
            <w:vAlign w:val="bottom"/>
            <w:gridSpan w:val="17"/>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60" w:type="dxa"/>
            <w:vAlign w:val="bottom"/>
            <w:gridSpan w:val="16"/>
            <w:shd w:val="clear" w:color="auto" w:fill="CCEEFF"/>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60" w:type="dxa"/>
            <w:vAlign w:val="bottom"/>
            <w:gridSpan w:val="16"/>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Articles of Amendment to Restated Articles of Incorporation. (Incorporated by reference to Exhibit 3.1 to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700" w:type="dxa"/>
            <w:vAlign w:val="bottom"/>
            <w:tcBorders>
              <w:top w:val="single" w:sz="8" w:color="0000FF"/>
            </w:tcBorders>
            <w:gridSpan w:val="13"/>
          </w:tcPr>
          <w:p>
            <w:pPr>
              <w:ind w:left="20"/>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Report on Form 8-K filed on January 16,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60" w:type="dxa"/>
            <w:vAlign w:val="bottom"/>
            <w:gridSpan w:val="16"/>
            <w:shd w:val="clear" w:color="auto" w:fill="CCEEFF"/>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1"/>
            <w:shd w:val="clear" w:color="auto" w:fill="CCEEFF"/>
          </w:tcPr>
          <w:p>
            <w:pPr>
              <w:ind w:left="20"/>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4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760" w:type="dxa"/>
            <w:vAlign w:val="bottom"/>
            <w:gridSpan w:val="16"/>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Amendment No. 3 to Third Amended and Restated Credit Agreement dated as of August 5, 2022, by and among Apogee</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40" w:type="dxa"/>
            <w:vAlign w:val="bottom"/>
            <w:tcBorders>
              <w:top w:val="single" w:sz="8" w:color="0000FF"/>
            </w:tcBorders>
            <w:gridSpan w:val="10"/>
          </w:tcPr>
          <w:p>
            <w:pPr>
              <w:ind w:left="20"/>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Enterprises, Inc., as the Borrower, the Lenders referred to therein, Wells Fargo Bank, National Association, as Administrative Agent,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9"/>
          </w:tcPr>
          <w:p>
            <w:pPr>
              <w:ind w:left="20"/>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Swingline Lender and Issuing Lender, and U.S. Bank National Association, as Syndication Agent and Issuing Lender (incorporated</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740" w:type="dxa"/>
            <w:vAlign w:val="bottom"/>
            <w:gridSpan w:val="15"/>
          </w:tcPr>
          <w:p>
            <w:pPr>
              <w:ind w:left="20"/>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by reference to Exhibit 10.1 to the Company's Current Report on Form 8-K filed on August 11, 2022).</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76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r>
      <w:tr>
        <w:trPr>
          <w:trHeight w:val="189"/>
        </w:trPr>
        <w:tc>
          <w:tcPr>
            <w:tcW w:w="2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40" w:type="dxa"/>
            <w:vAlign w:val="bottom"/>
            <w:tcBorders>
              <w:top w:val="single" w:sz="8" w:color="0000FF"/>
            </w:tcBorders>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c>
          <w:tcPr>
            <w:tcW w:w="1720" w:type="dxa"/>
            <w:vAlign w:val="bottom"/>
            <w:tcBorders>
              <w:top w:val="single" w:sz="8" w:color="CCEEFF"/>
            </w:tcBorders>
            <w:gridSpan w:val="9"/>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40" w:type="dxa"/>
            <w:vAlign w:val="bottom"/>
            <w:shd w:val="clear" w:color="auto" w:fill="CCEEFF"/>
          </w:tcPr>
          <w:p>
            <w:pPr>
              <w:spacing w:after="0"/>
              <w:rPr>
                <w:sz w:val="16"/>
                <w:szCs w:val="16"/>
                <w:color w:val="auto"/>
              </w:rPr>
            </w:pPr>
          </w:p>
        </w:tc>
        <w:tc>
          <w:tcPr>
            <w:tcW w:w="976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80" w:type="dxa"/>
            <w:vAlign w:val="bottom"/>
            <w:tcBorders>
              <w:top w:val="single" w:sz="8" w:color="0000FF"/>
              <w:bottom w:val="single" w:sz="8" w:color="CCEEFF"/>
            </w:tcBorders>
            <w:gridSpan w:val="11"/>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6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740" w:type="dxa"/>
            <w:vAlign w:val="bottom"/>
          </w:tcPr>
          <w:p>
            <w:pPr>
              <w:spacing w:after="0"/>
              <w:rPr>
                <w:sz w:val="16"/>
                <w:szCs w:val="16"/>
                <w:color w:val="auto"/>
              </w:rPr>
            </w:pPr>
          </w:p>
        </w:tc>
        <w:tc>
          <w:tcPr>
            <w:tcW w:w="976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2"/>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7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August 27, 2022,</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60" w:type="dxa"/>
            <w:vAlign w:val="bottom"/>
            <w:gridSpan w:val="16"/>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August 27, 2022</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7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and February 26, 2022, (ii) the Consolidated Results of Operations for the three- and six-months ended August 27, 2022 and August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012305" cy="925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012305" cy="925830"/>
                    </a:xfrm>
                    <a:prstGeom prst="rect">
                      <a:avLst/>
                    </a:prstGeom>
                    <a:noFill/>
                  </pic:spPr>
                </pic:pic>
              </a:graphicData>
            </a:graphic>
          </wp:anchor>
        </w:drawing>
      </w:r>
    </w:p>
    <w:p>
      <w:pPr>
        <w:ind w:left="1440" w:right="420"/>
        <w:spacing w:after="0" w:line="248" w:lineRule="auto"/>
        <w:rPr>
          <w:sz w:val="20"/>
          <w:szCs w:val="20"/>
          <w:color w:val="auto"/>
        </w:rPr>
      </w:pPr>
      <w:r>
        <w:rPr>
          <w:rFonts w:ascii="Times New Roman" w:cs="Times New Roman" w:eastAsia="Times New Roman" w:hAnsi="Times New Roman"/>
          <w:sz w:val="17"/>
          <w:szCs w:val="17"/>
          <w:color w:val="auto"/>
        </w:rPr>
        <w:t>28, 2021, (iii) the Consolidated Statements of Comprehensive Earnings for the three- and six-months ended August 27, 2022 and August 28, 2021, (iv) the Consolidated Statements of Cash Flows for the six-months ended August 27, 2022 and August 28, 2021,</w:t>
      </w:r>
    </w:p>
    <w:p>
      <w:pPr>
        <w:spacing w:after="0" w:line="1" w:lineRule="exact"/>
        <w:rPr>
          <w:sz w:val="20"/>
          <w:szCs w:val="20"/>
          <w:color w:val="auto"/>
        </w:rPr>
      </w:pPr>
    </w:p>
    <w:p>
      <w:pPr>
        <w:ind w:left="1440" w:right="340" w:hanging="10"/>
        <w:spacing w:after="0" w:line="243" w:lineRule="auto"/>
        <w:tabs>
          <w:tab w:leader="none" w:pos="1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Shareholders' Equity for the three- and six-months ended August 27, 2022 and August 28, 2021, and (vi) Notes to Consolidated Financial Statements.</w:t>
      </w:r>
    </w:p>
    <w:p>
      <w:pPr>
        <w:spacing w:after="0" w:line="6" w:lineRule="exact"/>
        <w:rPr>
          <w:sz w:val="20"/>
          <w:szCs w:val="20"/>
          <w:color w:val="auto"/>
        </w:rPr>
      </w:pPr>
    </w:p>
    <w:p>
      <w:pPr>
        <w:ind w:left="20"/>
        <w:spacing w:after="0"/>
        <w:tabs>
          <w:tab w:leader="none" w:pos="1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1230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September 29, 2022</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September 29, 2022</w:t>
      </w:r>
      <w:r>
        <w:rPr>
          <w:sz w:val="20"/>
          <w:szCs w:val="20"/>
          <w:color w:val="auto"/>
        </w:rPr>
        <w:tab/>
      </w:r>
      <w:r>
        <w:rPr>
          <w:rFonts w:ascii="Times New Roman" w:cs="Times New Roman" w:eastAsia="Times New Roman" w:hAnsi="Times New Roman"/>
          <w:sz w:val="17"/>
          <w:szCs w:val="17"/>
          <w:color w:val="auto"/>
        </w:rPr>
        <w:t>By: /s/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Mark R. Augdahl</w:t>
      </w:r>
    </w:p>
    <w:p>
      <w:pPr>
        <w:ind w:left="6020"/>
        <w:spacing w:after="0" w:line="219" w:lineRule="auto"/>
        <w:rPr>
          <w:sz w:val="20"/>
          <w:szCs w:val="20"/>
          <w:color w:val="auto"/>
        </w:rPr>
      </w:pPr>
      <w:r>
        <w:rPr>
          <w:rFonts w:ascii="Times New Roman" w:cs="Times New Roman" w:eastAsia="Times New Roman" w:hAnsi="Times New Roman"/>
          <w:sz w:val="18"/>
          <w:szCs w:val="18"/>
          <w:color w:val="auto"/>
        </w:rPr>
        <w:t>Interim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2022</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 Augdahl,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2022</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Mark R. Augdahl</w:t>
      </w:r>
    </w:p>
    <w:p>
      <w:pPr>
        <w:ind w:left="6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27, 2022 as filed with the Securities and Exchange Commission (the “Report”), I, Ty R. Silberhorn,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29, 2022</w:t>
      </w:r>
    </w:p>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August 27, 2022 as filed with the Securities and Exchange Commission (the “Report”), I, Mark R. Augdahl, Interim Chief Financial Officer of the Company, certify, pursuant to 18 U.S.C.</w:t>
      </w:r>
    </w:p>
    <w:p>
      <w:pPr>
        <w:ind w:left="140" w:hanging="132"/>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based on my knowledge:</w:t>
      </w:r>
    </w:p>
    <w:p>
      <w:pPr>
        <w:spacing w:after="0" w:line="1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R. Augdahl</w:t>
      </w: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29,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Roman"/>
      <w:start w:val="5"/>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47" Type="http://schemas.openxmlformats.org/officeDocument/2006/relationships/hyperlink" Target="http://www.sec.gov/Archives/edgar/data/6845/000119312504079352/dex31.htm" TargetMode="External"/><Relationship Id="rId48" Type="http://schemas.openxmlformats.org/officeDocument/2006/relationships/hyperlink" Target="http://www.sec.gov/Archives/edgar/data/6845/000119312520008887/d874518dex31.htm" TargetMode="External"/><Relationship Id="rId49" Type="http://schemas.openxmlformats.org/officeDocument/2006/relationships/hyperlink" Target="http://www.sec.gov/Archives/edgar/data/0000006845/000000684521000020/apog-ex33arbylawsfinalapri.htm" TargetMode="External"/><Relationship Id="rId50" Type="http://schemas.openxmlformats.org/officeDocument/2006/relationships/hyperlink" Target="http://www.sec.gov/Archives/edgar/data/6845/000119312522218654/d2984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2022-09-29T15:54:51Z</dcterms:created>
  <dcterms:modified xsi:type="dcterms:W3CDTF">2022-09-29T15:54:51Z</dcterms:modified>
</cp:coreProperties>
</file>