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3"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6"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38" w:lineRule="exact"/>
        <w:rPr>
          <w:sz w:val="24"/>
          <w:szCs w:val="24"/>
          <w:color w:val="auto"/>
        </w:rPr>
      </w:pPr>
    </w:p>
    <w:p>
      <w:pPr>
        <w:ind w:left="720" w:right="320" w:hanging="685"/>
        <w:spacing w:after="0" w:line="262" w:lineRule="auto"/>
        <w:tabs>
          <w:tab w:leader="none" w:pos="7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 2017</w:t>
      </w:r>
    </w:p>
    <w:p>
      <w:pPr>
        <w:spacing w:after="0" w:line="270" w:lineRule="exact"/>
        <w:rPr>
          <w:sz w:val="24"/>
          <w:szCs w:val="24"/>
          <w:color w:val="auto"/>
        </w:rPr>
      </w:pPr>
    </w:p>
    <w:p>
      <w:pPr>
        <w:ind w:left="720" w:right="300" w:hanging="685"/>
        <w:spacing w:after="0" w:line="262" w:lineRule="auto"/>
        <w:tabs>
          <w:tab w:leader="none" w:pos="7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90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0-6365</w:t>
      </w:r>
    </w:p>
    <w:p>
      <w:pPr>
        <w:spacing w:after="0" w:line="6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APOGEE ENTERPRISES,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49" w:lineRule="exact"/>
        <w:rPr>
          <w:sz w:val="24"/>
          <w:szCs w:val="24"/>
          <w:color w:val="auto"/>
        </w:rPr>
      </w:pPr>
    </w:p>
    <w:tbl>
      <w:tblPr>
        <w:tblLayout w:type="fixed"/>
        <w:tblInd w:w="1480" w:type="dxa"/>
        <w:tblCellMar>
          <w:top w:w="0" w:type="dxa"/>
          <w:left w:w="0" w:type="dxa"/>
          <w:bottom w:w="0" w:type="dxa"/>
          <w:right w:w="0" w:type="dxa"/>
        </w:tblCellMar>
      </w:tblPr>
      <w:tr>
        <w:trPr>
          <w:trHeight w:val="238"/>
        </w:trPr>
        <w:tc>
          <w:tcPr>
            <w:tcW w:w="4600" w:type="dxa"/>
            <w:vAlign w:val="bottom"/>
          </w:tcPr>
          <w:p>
            <w:pPr>
              <w:jc w:val="center"/>
              <w:ind w:right="1979"/>
              <w:spacing w:after="0"/>
              <w:rPr>
                <w:sz w:val="20"/>
                <w:szCs w:val="20"/>
                <w:color w:val="auto"/>
              </w:rPr>
            </w:pPr>
            <w:r>
              <w:rPr>
                <w:rFonts w:ascii="Times New Roman" w:cs="Times New Roman" w:eastAsia="Times New Roman" w:hAnsi="Times New Roman"/>
                <w:sz w:val="18"/>
                <w:szCs w:val="18"/>
                <w:b w:val="1"/>
                <w:bCs w:val="1"/>
                <w:color w:val="auto"/>
              </w:rPr>
              <w:t>Minnesota</w:t>
            </w:r>
          </w:p>
        </w:tc>
        <w:tc>
          <w:tcPr>
            <w:tcW w:w="3140" w:type="dxa"/>
            <w:vAlign w:val="bottom"/>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41-0919654</w:t>
            </w:r>
          </w:p>
        </w:tc>
      </w:tr>
      <w:tr>
        <w:trPr>
          <w:trHeight w:val="180"/>
        </w:trPr>
        <w:tc>
          <w:tcPr>
            <w:tcW w:w="4600" w:type="dxa"/>
            <w:vAlign w:val="bottom"/>
          </w:tcPr>
          <w:p>
            <w:pPr>
              <w:jc w:val="center"/>
              <w:ind w:right="1979"/>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3140" w:type="dxa"/>
            <w:vAlign w:val="bottom"/>
          </w:tcPr>
          <w:p>
            <w:pPr>
              <w:jc w:val="center"/>
              <w:ind w:left="2001"/>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4600" w:type="dxa"/>
            <w:vAlign w:val="bottom"/>
          </w:tcPr>
          <w:p>
            <w:pPr>
              <w:jc w:val="center"/>
              <w:ind w:right="197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140" w:type="dxa"/>
            <w:vAlign w:val="bottom"/>
          </w:tcPr>
          <w:p>
            <w:pPr>
              <w:jc w:val="center"/>
              <w:ind w:left="1981"/>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52"/>
        </w:trPr>
        <w:tc>
          <w:tcPr>
            <w:tcW w:w="4600" w:type="dxa"/>
            <w:vAlign w:val="bottom"/>
          </w:tcPr>
          <w:p>
            <w:pPr>
              <w:jc w:val="center"/>
              <w:ind w:right="1979"/>
              <w:spacing w:after="0"/>
              <w:rPr>
                <w:sz w:val="20"/>
                <w:szCs w:val="20"/>
                <w:color w:val="auto"/>
              </w:rPr>
            </w:pPr>
            <w:r>
              <w:rPr>
                <w:rFonts w:ascii="Times New Roman" w:cs="Times New Roman" w:eastAsia="Times New Roman" w:hAnsi="Times New Roman"/>
                <w:sz w:val="18"/>
                <w:szCs w:val="18"/>
                <w:b w:val="1"/>
                <w:bCs w:val="1"/>
                <w:color w:val="auto"/>
                <w:w w:val="97"/>
              </w:rPr>
              <w:t>4400 West 78</w:t>
            </w:r>
            <w:r>
              <w:rPr>
                <w:rFonts w:ascii="Times New Roman" w:cs="Times New Roman" w:eastAsia="Times New Roman" w:hAnsi="Times New Roman"/>
                <w:sz w:val="25"/>
                <w:szCs w:val="25"/>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Street – Suite 520,</w:t>
            </w:r>
          </w:p>
        </w:tc>
        <w:tc>
          <w:tcPr>
            <w:tcW w:w="3140" w:type="dxa"/>
            <w:vAlign w:val="bottom"/>
          </w:tcPr>
          <w:p>
            <w:pPr>
              <w:spacing w:after="0"/>
              <w:rPr>
                <w:sz w:val="24"/>
                <w:szCs w:val="24"/>
                <w:color w:val="auto"/>
              </w:rPr>
            </w:pPr>
          </w:p>
        </w:tc>
      </w:tr>
      <w:tr>
        <w:trPr>
          <w:trHeight w:val="238"/>
        </w:trPr>
        <w:tc>
          <w:tcPr>
            <w:tcW w:w="4600" w:type="dxa"/>
            <w:vAlign w:val="bottom"/>
          </w:tcPr>
          <w:p>
            <w:pPr>
              <w:jc w:val="center"/>
              <w:ind w:right="1979"/>
              <w:spacing w:after="0"/>
              <w:rPr>
                <w:sz w:val="20"/>
                <w:szCs w:val="20"/>
                <w:color w:val="auto"/>
              </w:rPr>
            </w:pPr>
            <w:r>
              <w:rPr>
                <w:rFonts w:ascii="Times New Roman" w:cs="Times New Roman" w:eastAsia="Times New Roman" w:hAnsi="Times New Roman"/>
                <w:sz w:val="18"/>
                <w:szCs w:val="18"/>
                <w:b w:val="1"/>
                <w:bCs w:val="1"/>
                <w:color w:val="auto"/>
                <w:w w:val="99"/>
              </w:rPr>
              <w:t>Minneapolis, MN</w:t>
            </w:r>
          </w:p>
        </w:tc>
        <w:tc>
          <w:tcPr>
            <w:tcW w:w="3140" w:type="dxa"/>
            <w:vAlign w:val="bottom"/>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55435</w:t>
            </w:r>
          </w:p>
        </w:tc>
      </w:tr>
      <w:tr>
        <w:trPr>
          <w:trHeight w:val="220"/>
        </w:trPr>
        <w:tc>
          <w:tcPr>
            <w:tcW w:w="4600" w:type="dxa"/>
            <w:vAlign w:val="bottom"/>
          </w:tcPr>
          <w:p>
            <w:pPr>
              <w:jc w:val="center"/>
              <w:ind w:right="197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140" w:type="dxa"/>
            <w:vAlign w:val="bottom"/>
          </w:tcPr>
          <w:p>
            <w:pPr>
              <w:jc w:val="center"/>
              <w:ind w:left="1981"/>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(952) 835-1874</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ind w:left="420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4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2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o No</w:t>
      </w:r>
    </w:p>
    <w:p>
      <w:pPr>
        <w:spacing w:after="0" w:line="12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95" w:right="239" w:bottom="1440" w:gutter="0" w:footer="0" w:header="0"/>
        </w:sectPr>
      </w:pPr>
    </w:p>
    <w:p>
      <w:pPr>
        <w:spacing w:after="0" w:line="20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x</w:t>
            </w:r>
          </w:p>
        </w:tc>
        <w:tc>
          <w:tcPr>
            <w:tcW w:w="26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392"/>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 (Do not check if a smaller reporting company)</w:t>
            </w:r>
          </w:p>
        </w:tc>
        <w:tc>
          <w:tcPr>
            <w:tcW w:w="26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8"/>
              </w:rPr>
              <w:t>Smaller reporting company</w:t>
            </w:r>
          </w:p>
        </w:tc>
      </w:tr>
      <w:tr>
        <w:trPr>
          <w:trHeight w:val="392"/>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4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w:t>
            </w:r>
          </w:p>
        </w:tc>
        <w:tc>
          <w:tcPr>
            <w:tcW w:w="2600" w:type="dxa"/>
            <w:vAlign w:val="bottom"/>
          </w:tcPr>
          <w:p>
            <w:pPr>
              <w:spacing w:after="0"/>
              <w:rPr>
                <w:sz w:val="24"/>
                <w:szCs w:val="24"/>
                <w:color w:val="auto"/>
              </w:rPr>
            </w:pPr>
          </w:p>
        </w:tc>
      </w:tr>
    </w:tbl>
    <w:p>
      <w:pPr>
        <w:spacing w:after="0" w:line="36" w:lineRule="exact"/>
        <w:rPr>
          <w:sz w:val="24"/>
          <w:szCs w:val="24"/>
          <w:color w:val="auto"/>
        </w:rPr>
      </w:pPr>
    </w:p>
    <w:p>
      <w:pPr>
        <w:ind w:left="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ectPr>
          <w:pgSz w:w="11900" w:h="16838" w:orient="portrait"/>
          <w:cols w:equalWidth="0" w:num="2">
            <w:col w:w="10460" w:space="320"/>
            <w:col w:w="640"/>
          </w:cols>
          <w:pgMar w:left="240" w:top="795" w:right="239" w:bottom="1440" w:gutter="0" w:footer="0" w:header="0"/>
          <w:type w:val="continuous"/>
        </w:sectPr>
      </w:pPr>
    </w:p>
    <w:bookmarkStart w:id="1" w:name="page2"/>
    <w:bookmarkEnd w:id="1"/>
    <w:p>
      <w:pPr>
        <w:ind w:right="839"/>
        <w:spacing w:after="0" w:line="470" w:lineRule="auto"/>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o Yes x No As of October 11, 2017, 28,642,749 shares of the registrant’s common stock, par value $0.33 1/3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26" w:right="1440"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APOGEE ENTERPRISES, INC. AND SUBSIDIARIES</w:t>
      </w:r>
    </w:p>
    <w:p>
      <w:pPr>
        <w:spacing w:after="0" w:line="200" w:lineRule="exact"/>
        <w:rPr>
          <w:sz w:val="20"/>
          <w:szCs w:val="20"/>
          <w:color w:val="auto"/>
        </w:rPr>
      </w:pP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20" w:type="dxa"/>
            <w:vAlign w:val="bottom"/>
            <w:gridSpan w:val="5"/>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3"/>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700" w:type="dxa"/>
            <w:vAlign w:val="bottom"/>
            <w:tcBorders>
              <w:bottom w:val="single" w:sz="8" w:color="0000FF"/>
            </w:tcBorders>
            <w:gridSpan w:val="5"/>
          </w:tcPr>
          <w:p>
            <w:pPr>
              <w:spacing w:after="0"/>
              <w:rPr>
                <w:rFonts w:ascii="Times New Roman" w:cs="Times New Roman" w:eastAsia="Times New Roman" w:hAnsi="Times New Roman"/>
                <w:sz w:val="18"/>
                <w:szCs w:val="18"/>
                <w:b w:val="1"/>
                <w:bCs w:val="1"/>
                <w:color w:val="0000FF"/>
                <w:w w:val="98"/>
              </w:rPr>
            </w:pPr>
            <w:hyperlink w:anchor="page4">
              <w:r>
                <w:rPr>
                  <w:rFonts w:ascii="Times New Roman" w:cs="Times New Roman" w:eastAsia="Times New Roman" w:hAnsi="Times New Roman"/>
                  <w:sz w:val="18"/>
                  <w:szCs w:val="18"/>
                  <w:b w:val="1"/>
                  <w:bCs w:val="1"/>
                  <w:color w:val="0000FF"/>
                  <w:w w:val="98"/>
                </w:rPr>
                <w:t>Financial Information</w:t>
              </w:r>
            </w:hyperlink>
          </w:p>
        </w:tc>
        <w:tc>
          <w:tcPr>
            <w:tcW w:w="6180" w:type="dxa"/>
            <w:vAlign w:val="bottom"/>
            <w:gridSpan w:val="11"/>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7880" w:type="dxa"/>
            <w:vAlign w:val="bottom"/>
            <w:gridSpan w:val="16"/>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Financial Statements (Unaudited):</w:t>
              </w:r>
            </w:hyperlink>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60" w:type="dxa"/>
            <w:vAlign w:val="bottom"/>
            <w:tcBorders>
              <w:top w:val="single" w:sz="8" w:color="0000FF"/>
            </w:tcBorders>
            <w:gridSpan w:val="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Balance Sheets</w:t>
              </w:r>
            </w:hyperlink>
          </w:p>
        </w:tc>
        <w:tc>
          <w:tcPr>
            <w:tcW w:w="5420" w:type="dxa"/>
            <w:vAlign w:val="bottom"/>
            <w:gridSpan w:val="8"/>
          </w:tcPr>
          <w:p>
            <w:pPr>
              <w:spacing w:after="0"/>
              <w:rPr>
                <w:sz w:val="24"/>
                <w:szCs w:val="24"/>
                <w:color w:val="auto"/>
              </w:rPr>
            </w:pPr>
          </w:p>
        </w:tc>
        <w:tc>
          <w:tcPr>
            <w:tcW w:w="2220" w:type="dxa"/>
            <w:vAlign w:val="bottom"/>
            <w:gridSpan w:val="5"/>
          </w:tcPr>
          <w:p>
            <w:pPr>
              <w:jc w:val="right"/>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80" w:type="dxa"/>
            <w:vAlign w:val="bottom"/>
            <w:gridSpan w:val="16"/>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Results of Operations</w:t>
              </w:r>
            </w:hyperlink>
          </w:p>
        </w:tc>
        <w:tc>
          <w:tcPr>
            <w:tcW w:w="2220" w:type="dxa"/>
            <w:vAlign w:val="bottom"/>
            <w:gridSpan w:val="5"/>
          </w:tcPr>
          <w:p>
            <w:pPr>
              <w:jc w:val="right"/>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5</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Consolidated Statements of Comprehensive Earnings</w:t>
              </w:r>
            </w:hyperlink>
          </w:p>
        </w:tc>
        <w:tc>
          <w:tcPr>
            <w:tcW w:w="4040" w:type="dxa"/>
            <w:vAlign w:val="bottom"/>
            <w:gridSpan w:val="3"/>
          </w:tcPr>
          <w:p>
            <w:pPr>
              <w:spacing w:after="0"/>
              <w:rPr>
                <w:sz w:val="24"/>
                <w:szCs w:val="24"/>
                <w:color w:val="auto"/>
              </w:rPr>
            </w:pPr>
          </w:p>
        </w:tc>
        <w:tc>
          <w:tcPr>
            <w:tcW w:w="2120" w:type="dxa"/>
            <w:vAlign w:val="bottom"/>
            <w:gridSpan w:val="4"/>
          </w:tcPr>
          <w:p>
            <w:pPr>
              <w:spacing w:after="0"/>
              <w:rPr>
                <w:sz w:val="24"/>
                <w:szCs w:val="24"/>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6">
              <w:r>
                <w:rPr>
                  <w:rFonts w:ascii="Times New Roman" w:cs="Times New Roman" w:eastAsia="Times New Roman" w:hAnsi="Times New Roman"/>
                  <w:sz w:val="18"/>
                  <w:szCs w:val="18"/>
                  <w:color w:val="0000FF"/>
                  <w:w w:val="88"/>
                </w:rPr>
                <w:t>6</w:t>
              </w:r>
            </w:hyperlink>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80" w:type="dxa"/>
            <w:vAlign w:val="bottom"/>
            <w:gridSpan w:val="16"/>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Statements of Cash Flows</w:t>
              </w:r>
            </w:hyperlink>
          </w:p>
        </w:tc>
        <w:tc>
          <w:tcPr>
            <w:tcW w:w="2220" w:type="dxa"/>
            <w:vAlign w:val="bottom"/>
            <w:gridSpan w:val="5"/>
          </w:tcPr>
          <w:p>
            <w:pPr>
              <w:jc w:val="right"/>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7</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Consolidated Statements of Shareholders' Equity</w:t>
              </w:r>
            </w:hyperlink>
          </w:p>
        </w:tc>
        <w:tc>
          <w:tcPr>
            <w:tcW w:w="4360" w:type="dxa"/>
            <w:vAlign w:val="bottom"/>
            <w:gridSpan w:val="4"/>
          </w:tcPr>
          <w:p>
            <w:pPr>
              <w:spacing w:after="0"/>
              <w:rPr>
                <w:sz w:val="24"/>
                <w:szCs w:val="24"/>
                <w:color w:val="auto"/>
              </w:rPr>
            </w:pPr>
          </w:p>
        </w:tc>
        <w:tc>
          <w:tcPr>
            <w:tcW w:w="2120" w:type="dxa"/>
            <w:vAlign w:val="bottom"/>
            <w:gridSpan w:val="4"/>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8</w:t>
              </w:r>
            </w:hyperlink>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80" w:type="dxa"/>
            <w:vAlign w:val="bottom"/>
            <w:gridSpan w:val="16"/>
          </w:tcPr>
          <w:p>
            <w:pPr>
              <w:spacing w:after="0"/>
              <w:rPr>
                <w:rFonts w:ascii="Times New Roman" w:cs="Times New Roman" w:eastAsia="Times New Roman" w:hAnsi="Times New Roman"/>
                <w:sz w:val="18"/>
                <w:szCs w:val="18"/>
                <w:color w:val="0000FF"/>
              </w:rPr>
            </w:pPr>
            <w:hyperlink w:anchor="page9">
              <w:r>
                <w:rPr>
                  <w:rFonts w:ascii="Times New Roman" w:cs="Times New Roman" w:eastAsia="Times New Roman" w:hAnsi="Times New Roman"/>
                  <w:sz w:val="18"/>
                  <w:szCs w:val="18"/>
                  <w:color w:val="0000FF"/>
                </w:rPr>
                <w:t>Notes to Consolidated Financial Statements</w:t>
              </w:r>
            </w:hyperlink>
          </w:p>
        </w:tc>
        <w:tc>
          <w:tcPr>
            <w:tcW w:w="2220" w:type="dxa"/>
            <w:vAlign w:val="bottom"/>
            <w:gridSpan w:val="5"/>
          </w:tcPr>
          <w:p>
            <w:pPr>
              <w:jc w:val="right"/>
              <w:spacing w:after="0"/>
              <w:rPr>
                <w:rFonts w:ascii="Times New Roman" w:cs="Times New Roman" w:eastAsia="Times New Roman" w:hAnsi="Times New Roman"/>
                <w:sz w:val="18"/>
                <w:szCs w:val="18"/>
                <w:color w:val="0000FF"/>
              </w:rPr>
            </w:pPr>
            <w:hyperlink w:anchor="page9">
              <w:r>
                <w:rPr>
                  <w:rFonts w:ascii="Times New Roman" w:cs="Times New Roman" w:eastAsia="Times New Roman" w:hAnsi="Times New Roman"/>
                  <w:sz w:val="18"/>
                  <w:szCs w:val="18"/>
                  <w:color w:val="0000FF"/>
                </w:rPr>
                <w:t>9</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5"/>
          </w:tcPr>
          <w:p>
            <w:pPr>
              <w:spacing w:after="0"/>
              <w:rPr>
                <w:rFonts w:ascii="Times New Roman" w:cs="Times New Roman" w:eastAsia="Times New Roman" w:hAnsi="Times New Roman"/>
                <w:sz w:val="18"/>
                <w:szCs w:val="18"/>
                <w:color w:val="0000FF"/>
                <w:w w:val="99"/>
              </w:rPr>
            </w:pPr>
            <w:hyperlink w:anchor="page17">
              <w:r>
                <w:rPr>
                  <w:rFonts w:ascii="Times New Roman" w:cs="Times New Roman" w:eastAsia="Times New Roman" w:hAnsi="Times New Roman"/>
                  <w:sz w:val="18"/>
                  <w:szCs w:val="18"/>
                  <w:color w:val="0000FF"/>
                  <w:w w:val="99"/>
                </w:rPr>
                <w:t>Management’s Discussion and Analysis of Financial Condition and Results of Operations</w:t>
              </w:r>
            </w:hyperlink>
          </w:p>
        </w:tc>
        <w:tc>
          <w:tcPr>
            <w:tcW w:w="1420" w:type="dxa"/>
            <w:vAlign w:val="bottom"/>
          </w:tcPr>
          <w:p>
            <w:pPr>
              <w:spacing w:after="0"/>
              <w:rPr>
                <w:sz w:val="24"/>
                <w:szCs w:val="24"/>
                <w:color w:val="auto"/>
              </w:rPr>
            </w:pPr>
          </w:p>
        </w:tc>
        <w:tc>
          <w:tcPr>
            <w:tcW w:w="2220" w:type="dxa"/>
            <w:vAlign w:val="bottom"/>
            <w:gridSpan w:val="5"/>
          </w:tcPr>
          <w:p>
            <w:pPr>
              <w:jc w:val="right"/>
              <w:spacing w:after="0"/>
              <w:rPr>
                <w:rFonts w:ascii="Times New Roman" w:cs="Times New Roman" w:eastAsia="Times New Roman" w:hAnsi="Times New Roman"/>
                <w:sz w:val="18"/>
                <w:szCs w:val="18"/>
                <w:color w:val="0000FF"/>
              </w:rPr>
            </w:pPr>
            <w:hyperlink w:anchor="page17">
              <w:r>
                <w:rPr>
                  <w:rFonts w:ascii="Times New Roman" w:cs="Times New Roman" w:eastAsia="Times New Roman" w:hAnsi="Times New Roman"/>
                  <w:sz w:val="18"/>
                  <w:szCs w:val="18"/>
                  <w:color w:val="0000FF"/>
                </w:rPr>
                <w:t>17</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4"/>
          </w:tcPr>
          <w:p>
            <w:pPr>
              <w:spacing w:after="0"/>
              <w:rPr>
                <w:rFonts w:ascii="Times New Roman" w:cs="Times New Roman" w:eastAsia="Times New Roman" w:hAnsi="Times New Roman"/>
                <w:sz w:val="18"/>
                <w:szCs w:val="18"/>
                <w:color w:val="0000FF"/>
                <w:w w:val="98"/>
              </w:rPr>
            </w:pPr>
            <w:hyperlink w:anchor="page23">
              <w:r>
                <w:rPr>
                  <w:rFonts w:ascii="Times New Roman" w:cs="Times New Roman" w:eastAsia="Times New Roman" w:hAnsi="Times New Roman"/>
                  <w:sz w:val="18"/>
                  <w:szCs w:val="18"/>
                  <w:color w:val="0000FF"/>
                  <w:w w:val="98"/>
                </w:rPr>
                <w:t>Quantitative and Qualitative Disclosures About Market Risk</w:t>
              </w:r>
            </w:hyperlink>
          </w:p>
        </w:tc>
        <w:tc>
          <w:tcPr>
            <w:tcW w:w="2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20" w:type="dxa"/>
            <w:vAlign w:val="bottom"/>
            <w:gridSpan w:val="5"/>
          </w:tcPr>
          <w:p>
            <w:pPr>
              <w:jc w:val="right"/>
              <w:spacing w:after="0"/>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23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354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14"/>
          </w:tcPr>
          <w:p>
            <w:pPr>
              <w:spacing w:after="0"/>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Controls and Procedures</w:t>
              </w:r>
            </w:hyperlink>
          </w:p>
        </w:tc>
        <w:tc>
          <w:tcPr>
            <w:tcW w:w="3540" w:type="dxa"/>
            <w:vAlign w:val="bottom"/>
            <w:gridSpan w:val="2"/>
          </w:tcPr>
          <w:p>
            <w:pPr>
              <w:spacing w:after="0"/>
              <w:rPr>
                <w:sz w:val="24"/>
                <w:szCs w:val="24"/>
                <w:color w:val="auto"/>
              </w:rPr>
            </w:pPr>
          </w:p>
        </w:tc>
        <w:tc>
          <w:tcPr>
            <w:tcW w:w="2220" w:type="dxa"/>
            <w:vAlign w:val="bottom"/>
            <w:gridSpan w:val="5"/>
          </w:tcPr>
          <w:p>
            <w:pPr>
              <w:jc w:val="right"/>
              <w:spacing w:after="0"/>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23</w:t>
              </w:r>
            </w:hyperlink>
          </w:p>
        </w:tc>
      </w:tr>
      <w:tr>
        <w:trPr>
          <w:trHeight w:val="37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44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8"/>
                <w:szCs w:val="18"/>
                <w:b w:val="1"/>
                <w:bCs w:val="1"/>
                <w:color w:val="0000FF"/>
                <w:w w:val="98"/>
              </w:rPr>
            </w:pPr>
            <w:hyperlink w:anchor="page23">
              <w:r>
                <w:rPr>
                  <w:rFonts w:ascii="Times New Roman" w:cs="Times New Roman" w:eastAsia="Times New Roman" w:hAnsi="Times New Roman"/>
                  <w:sz w:val="18"/>
                  <w:szCs w:val="18"/>
                  <w:b w:val="1"/>
                  <w:bCs w:val="1"/>
                  <w:color w:val="0000FF"/>
                  <w:w w:val="98"/>
                </w:rPr>
                <w:t>Other Information</w:t>
              </w:r>
            </w:hyperlink>
          </w:p>
        </w:tc>
        <w:tc>
          <w:tcPr>
            <w:tcW w:w="320" w:type="dxa"/>
            <w:vAlign w:val="bottom"/>
            <w:tcBorders>
              <w:top w:val="single" w:sz="8" w:color="0000FF"/>
            </w:tcBorders>
            <w:gridSpan w:val="2"/>
          </w:tcPr>
          <w:p>
            <w:pPr>
              <w:spacing w:after="0"/>
              <w:rPr>
                <w:sz w:val="24"/>
                <w:szCs w:val="24"/>
                <w:color w:val="auto"/>
              </w:rPr>
            </w:pPr>
          </w:p>
        </w:tc>
        <w:tc>
          <w:tcPr>
            <w:tcW w:w="6120" w:type="dxa"/>
            <w:vAlign w:val="bottom"/>
            <w:gridSpan w:val="10"/>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37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7880" w:type="dxa"/>
            <w:vAlign w:val="bottom"/>
            <w:gridSpan w:val="16"/>
          </w:tcPr>
          <w:p>
            <w:pPr>
              <w:spacing w:after="0"/>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Legal Proceedings</w:t>
              </w:r>
            </w:hyperlink>
          </w:p>
        </w:tc>
        <w:tc>
          <w:tcPr>
            <w:tcW w:w="2220" w:type="dxa"/>
            <w:vAlign w:val="bottom"/>
            <w:gridSpan w:val="5"/>
          </w:tcPr>
          <w:p>
            <w:pPr>
              <w:jc w:val="right"/>
              <w:spacing w:after="0"/>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23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2"/>
          </w:tcPr>
          <w:p>
            <w:pPr>
              <w:spacing w:after="0"/>
              <w:rPr>
                <w:rFonts w:ascii="Times New Roman" w:cs="Times New Roman" w:eastAsia="Times New Roman" w:hAnsi="Times New Roman"/>
                <w:sz w:val="18"/>
                <w:szCs w:val="18"/>
                <w:color w:val="0000FF"/>
                <w:w w:val="97"/>
              </w:rPr>
            </w:pPr>
            <w:hyperlink w:anchor="page23">
              <w:r>
                <w:rPr>
                  <w:rFonts w:ascii="Times New Roman" w:cs="Times New Roman" w:eastAsia="Times New Roman" w:hAnsi="Times New Roman"/>
                  <w:sz w:val="18"/>
                  <w:szCs w:val="18"/>
                  <w:color w:val="0000FF"/>
                  <w:w w:val="97"/>
                </w:rPr>
                <w:t>Risk Factors</w:t>
              </w:r>
            </w:hyperlink>
          </w:p>
        </w:tc>
        <w:tc>
          <w:tcPr>
            <w:tcW w:w="420" w:type="dxa"/>
            <w:vAlign w:val="bottom"/>
          </w:tcPr>
          <w:p>
            <w:pPr>
              <w:spacing w:after="0"/>
              <w:rPr>
                <w:sz w:val="24"/>
                <w:szCs w:val="24"/>
                <w:color w:val="auto"/>
              </w:rPr>
            </w:pPr>
          </w:p>
        </w:tc>
        <w:tc>
          <w:tcPr>
            <w:tcW w:w="6560" w:type="dxa"/>
            <w:vAlign w:val="bottom"/>
            <w:gridSpan w:val="13"/>
          </w:tcPr>
          <w:p>
            <w:pPr>
              <w:spacing w:after="0"/>
              <w:rPr>
                <w:sz w:val="24"/>
                <w:szCs w:val="24"/>
                <w:color w:val="auto"/>
              </w:rPr>
            </w:pPr>
          </w:p>
        </w:tc>
        <w:tc>
          <w:tcPr>
            <w:tcW w:w="2220" w:type="dxa"/>
            <w:vAlign w:val="bottom"/>
            <w:gridSpan w:val="5"/>
          </w:tcPr>
          <w:p>
            <w:pPr>
              <w:jc w:val="right"/>
              <w:spacing w:after="0"/>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23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1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gridSpan w:val="14"/>
          </w:tcPr>
          <w:p>
            <w:pPr>
              <w:spacing w:after="0"/>
              <w:rPr>
                <w:rFonts w:ascii="Times New Roman" w:cs="Times New Roman" w:eastAsia="Times New Roman" w:hAnsi="Times New Roman"/>
                <w:sz w:val="18"/>
                <w:szCs w:val="18"/>
                <w:color w:val="0000FF"/>
                <w:w w:val="98"/>
              </w:rPr>
            </w:pPr>
            <w:hyperlink w:anchor="page24">
              <w:r>
                <w:rPr>
                  <w:rFonts w:ascii="Times New Roman" w:cs="Times New Roman" w:eastAsia="Times New Roman" w:hAnsi="Times New Roman"/>
                  <w:sz w:val="18"/>
                  <w:szCs w:val="18"/>
                  <w:color w:val="0000FF"/>
                  <w:w w:val="98"/>
                </w:rPr>
                <w:t>Unregistered Sales of Equity Securities and Use of Proceeds</w:t>
              </w:r>
            </w:hyperlink>
          </w:p>
        </w:tc>
        <w:tc>
          <w:tcPr>
            <w:tcW w:w="3540" w:type="dxa"/>
            <w:vAlign w:val="bottom"/>
            <w:gridSpan w:val="2"/>
          </w:tcPr>
          <w:p>
            <w:pPr>
              <w:spacing w:after="0"/>
              <w:rPr>
                <w:sz w:val="24"/>
                <w:szCs w:val="24"/>
                <w:color w:val="auto"/>
              </w:rPr>
            </w:pPr>
          </w:p>
        </w:tc>
        <w:tc>
          <w:tcPr>
            <w:tcW w:w="2220" w:type="dxa"/>
            <w:vAlign w:val="bottom"/>
            <w:gridSpan w:val="5"/>
          </w:tcPr>
          <w:p>
            <w:pPr>
              <w:jc w:val="right"/>
              <w:spacing w:after="0"/>
              <w:rPr>
                <w:rFonts w:ascii="Times New Roman" w:cs="Times New Roman" w:eastAsia="Times New Roman" w:hAnsi="Times New Roman"/>
                <w:sz w:val="18"/>
                <w:szCs w:val="18"/>
                <w:color w:val="0000FF"/>
              </w:rPr>
            </w:pPr>
            <w:hyperlink w:anchor="page24">
              <w:r>
                <w:rPr>
                  <w:rFonts w:ascii="Times New Roman" w:cs="Times New Roman" w:eastAsia="Times New Roman" w:hAnsi="Times New Roman"/>
                  <w:sz w:val="18"/>
                  <w:szCs w:val="18"/>
                  <w:color w:val="0000FF"/>
                </w:rPr>
                <w:t>24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rFonts w:ascii="Times New Roman" w:cs="Times New Roman" w:eastAsia="Times New Roman" w:hAnsi="Times New Roman"/>
                <w:sz w:val="18"/>
                <w:szCs w:val="18"/>
                <w:color w:val="0000FF"/>
                <w:w w:val="96"/>
              </w:rPr>
            </w:pPr>
            <w:hyperlink w:anchor="page24">
              <w:r>
                <w:rPr>
                  <w:rFonts w:ascii="Times New Roman" w:cs="Times New Roman" w:eastAsia="Times New Roman" w:hAnsi="Times New Roman"/>
                  <w:sz w:val="18"/>
                  <w:szCs w:val="18"/>
                  <w:color w:val="0000FF"/>
                  <w:w w:val="96"/>
                </w:rPr>
                <w:t>Exhibits</w:t>
              </w:r>
            </w:hyperlink>
          </w:p>
        </w:tc>
        <w:tc>
          <w:tcPr>
            <w:tcW w:w="3740" w:type="dxa"/>
            <w:vAlign w:val="bottom"/>
            <w:gridSpan w:val="13"/>
          </w:tcPr>
          <w:p>
            <w:pPr>
              <w:spacing w:after="0"/>
              <w:rPr>
                <w:sz w:val="24"/>
                <w:szCs w:val="24"/>
                <w:color w:val="auto"/>
              </w:rPr>
            </w:pPr>
          </w:p>
        </w:tc>
        <w:tc>
          <w:tcPr>
            <w:tcW w:w="3540" w:type="dxa"/>
            <w:vAlign w:val="bottom"/>
            <w:gridSpan w:val="2"/>
          </w:tcPr>
          <w:p>
            <w:pPr>
              <w:spacing w:after="0"/>
              <w:rPr>
                <w:sz w:val="24"/>
                <w:szCs w:val="24"/>
                <w:color w:val="auto"/>
              </w:rPr>
            </w:pPr>
          </w:p>
        </w:tc>
        <w:tc>
          <w:tcPr>
            <w:tcW w:w="2220" w:type="dxa"/>
            <w:vAlign w:val="bottom"/>
            <w:gridSpan w:val="5"/>
          </w:tcPr>
          <w:p>
            <w:pPr>
              <w:jc w:val="right"/>
              <w:spacing w:after="0"/>
              <w:rPr>
                <w:rFonts w:ascii="Times New Roman" w:cs="Times New Roman" w:eastAsia="Times New Roman" w:hAnsi="Times New Roman"/>
                <w:sz w:val="18"/>
                <w:szCs w:val="18"/>
                <w:color w:val="0000FF"/>
              </w:rPr>
            </w:pPr>
            <w:hyperlink w:anchor="page24">
              <w:r>
                <w:rPr>
                  <w:rFonts w:ascii="Times New Roman" w:cs="Times New Roman" w:eastAsia="Times New Roman" w:hAnsi="Times New Roman"/>
                  <w:sz w:val="18"/>
                  <w:szCs w:val="18"/>
                  <w:color w:val="0000FF"/>
                </w:rPr>
                <w:t>24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0000FF"/>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20" w:type="dxa"/>
            <w:vAlign w:val="bottom"/>
            <w:gridSpan w:val="5"/>
          </w:tcPr>
          <w:p>
            <w:pPr>
              <w:jc w:val="right"/>
              <w:spacing w:after="0"/>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0000FF"/>
                </w:rPr>
                <w:t>25</w:t>
              </w:r>
            </w:hyperlink>
          </w:p>
        </w:tc>
      </w:tr>
      <w:tr>
        <w:trPr>
          <w:trHeight w:val="507"/>
        </w:trPr>
        <w:tc>
          <w:tcPr>
            <w:tcW w:w="76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6460" w:type="dxa"/>
            <w:vAlign w:val="bottom"/>
            <w:gridSpan w:val="15"/>
          </w:tcPr>
          <w:p>
            <w:pPr>
              <w:ind w:left="4360"/>
              <w:spacing w:after="0"/>
              <w:rPr>
                <w:sz w:val="20"/>
                <w:szCs w:val="20"/>
                <w:color w:val="auto"/>
              </w:rPr>
            </w:pPr>
            <w:r>
              <w:rPr>
                <w:rFonts w:ascii="Times New Roman" w:cs="Times New Roman" w:eastAsia="Times New Roman" w:hAnsi="Times New Roman"/>
                <w:sz w:val="18"/>
                <w:szCs w:val="18"/>
                <w:color w:val="auto"/>
              </w:rPr>
              <w:t>3</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gridSpan w:val="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Table of Contents</w:t>
              </w:r>
            </w:hyperlink>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7080" w:type="dxa"/>
            <w:vAlign w:val="bottom"/>
            <w:gridSpan w:val="2"/>
          </w:tcPr>
          <w:p>
            <w:pPr>
              <w:ind w:left="29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Item 1.</w:t>
            </w:r>
          </w:p>
        </w:tc>
        <w:tc>
          <w:tcPr>
            <w:tcW w:w="78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8360" w:type="dxa"/>
            <w:vAlign w:val="bottom"/>
            <w:gridSpan w:val="4"/>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 except stock data)</w:t>
            </w: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 2017</w:t>
            </w:r>
          </w:p>
        </w:tc>
        <w:tc>
          <w:tcPr>
            <w:tcW w:w="220" w:type="dxa"/>
            <w:vAlign w:val="bottom"/>
          </w:tcPr>
          <w:p>
            <w:pPr>
              <w:spacing w:after="0"/>
              <w:rPr>
                <w:sz w:val="24"/>
                <w:szCs w:val="24"/>
                <w:color w:val="auto"/>
              </w:rPr>
            </w:pP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March 4, 2017</w:t>
            </w:r>
          </w:p>
        </w:tc>
        <w:tc>
          <w:tcPr>
            <w:tcW w:w="0" w:type="dxa"/>
            <w:vAlign w:val="bottom"/>
          </w:tcPr>
          <w:p>
            <w:pPr>
              <w:spacing w:after="0"/>
              <w:rPr>
                <w:sz w:val="1"/>
                <w:szCs w:val="1"/>
                <w:color w:val="auto"/>
              </w:rPr>
            </w:pPr>
          </w:p>
        </w:tc>
      </w:tr>
      <w:tr>
        <w:trPr>
          <w:trHeight w:val="249"/>
        </w:trPr>
        <w:tc>
          <w:tcPr>
            <w:tcW w:w="5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6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19,463</w:t>
            </w:r>
          </w:p>
        </w:tc>
        <w:tc>
          <w:tcPr>
            <w:tcW w:w="0" w:type="dxa"/>
            <w:vAlign w:val="bottom"/>
          </w:tcPr>
          <w:p>
            <w:pPr>
              <w:spacing w:after="0"/>
              <w:rPr>
                <w:sz w:val="1"/>
                <w:szCs w:val="1"/>
                <w:color w:val="auto"/>
              </w:rPr>
            </w:pPr>
          </w:p>
        </w:tc>
      </w:tr>
      <w:tr>
        <w:trPr>
          <w:trHeight w:val="243"/>
        </w:trPr>
        <w:tc>
          <w:tcPr>
            <w:tcW w:w="83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Short-term available for sale securities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7,834</w:t>
            </w:r>
          </w:p>
        </w:tc>
        <w:tc>
          <w:tcPr>
            <w:tcW w:w="0" w:type="dxa"/>
            <w:vAlign w:val="bottom"/>
          </w:tcPr>
          <w:p>
            <w:pPr>
              <w:spacing w:after="0"/>
              <w:rPr>
                <w:sz w:val="1"/>
                <w:szCs w:val="1"/>
                <w:color w:val="auto"/>
              </w:rPr>
            </w:pPr>
          </w:p>
        </w:tc>
      </w:tr>
      <w:tr>
        <w:trPr>
          <w:trHeight w:val="243"/>
        </w:trPr>
        <w:tc>
          <w:tcPr>
            <w:tcW w:w="83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Receivables, net of allowance for doubtful accounts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222,583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185,740</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103,673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73,409</w:t>
            </w:r>
          </w:p>
        </w:tc>
        <w:tc>
          <w:tcPr>
            <w:tcW w:w="0" w:type="dxa"/>
            <w:vAlign w:val="bottom"/>
          </w:tcPr>
          <w:p>
            <w:pPr>
              <w:spacing w:after="0"/>
              <w:rPr>
                <w:sz w:val="1"/>
                <w:szCs w:val="1"/>
                <w:color w:val="auto"/>
              </w:rPr>
            </w:pPr>
          </w:p>
        </w:tc>
      </w:tr>
      <w:tr>
        <w:trPr>
          <w:trHeight w:val="243"/>
        </w:trPr>
        <w:tc>
          <w:tcPr>
            <w:tcW w:w="83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Refundable income taxes</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1,743</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8,724</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368,746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297,461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gridSpan w:val="2"/>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299,974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246,748</w:t>
            </w:r>
          </w:p>
        </w:tc>
        <w:tc>
          <w:tcPr>
            <w:tcW w:w="0" w:type="dxa"/>
            <w:vAlign w:val="bottom"/>
          </w:tcPr>
          <w:p>
            <w:pPr>
              <w:spacing w:after="0"/>
              <w:rPr>
                <w:sz w:val="1"/>
                <w:szCs w:val="1"/>
                <w:color w:val="auto"/>
              </w:rPr>
            </w:pPr>
          </w:p>
        </w:tc>
      </w:tr>
      <w:tr>
        <w:trPr>
          <w:trHeight w:val="243"/>
        </w:trPr>
        <w:tc>
          <w:tcPr>
            <w:tcW w:w="83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9,041</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4,025</w:t>
            </w:r>
          </w:p>
        </w:tc>
        <w:tc>
          <w:tcPr>
            <w:tcW w:w="0" w:type="dxa"/>
            <w:vAlign w:val="bottom"/>
          </w:tcPr>
          <w:p>
            <w:pPr>
              <w:spacing w:after="0"/>
              <w:rPr>
                <w:sz w:val="1"/>
                <w:szCs w:val="1"/>
                <w:color w:val="auto"/>
              </w:rPr>
            </w:pPr>
          </w:p>
        </w:tc>
      </w:tr>
      <w:tr>
        <w:trPr>
          <w:trHeight w:val="243"/>
        </w:trPr>
        <w:tc>
          <w:tcPr>
            <w:tcW w:w="83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153,483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101,334</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181,124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106,686</w:t>
            </w:r>
          </w:p>
        </w:tc>
        <w:tc>
          <w:tcPr>
            <w:tcW w:w="0" w:type="dxa"/>
            <w:vAlign w:val="bottom"/>
          </w:tcPr>
          <w:p>
            <w:pPr>
              <w:spacing w:after="0"/>
              <w:rPr>
                <w:sz w:val="1"/>
                <w:szCs w:val="1"/>
                <w:color w:val="auto"/>
              </w:rPr>
            </w:pPr>
          </w:p>
        </w:tc>
      </w:tr>
      <w:tr>
        <w:trPr>
          <w:trHeight w:val="243"/>
        </w:trPr>
        <w:tc>
          <w:tcPr>
            <w:tcW w:w="83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19,363</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1,039,376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784,658</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280" w:type="dxa"/>
            <w:vAlign w:val="bottom"/>
            <w:gridSpan w:val="2"/>
          </w:tcPr>
          <w:p>
            <w:pPr>
              <w:spacing w:after="0"/>
              <w:rPr>
                <w:sz w:val="4"/>
                <w:szCs w:val="4"/>
                <w:color w:val="auto"/>
              </w:rPr>
            </w:pPr>
          </w:p>
        </w:tc>
        <w:tc>
          <w:tcPr>
            <w:tcW w:w="6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63,619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63,182</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51,244</w:t>
            </w:r>
          </w:p>
        </w:tc>
        <w:tc>
          <w:tcPr>
            <w:tcW w:w="0" w:type="dxa"/>
            <w:vAlign w:val="bottom"/>
          </w:tcPr>
          <w:p>
            <w:pPr>
              <w:spacing w:after="0"/>
              <w:rPr>
                <w:sz w:val="1"/>
                <w:szCs w:val="1"/>
                <w:color w:val="auto"/>
              </w:rPr>
            </w:pPr>
          </w:p>
        </w:tc>
      </w:tr>
      <w:tr>
        <w:trPr>
          <w:trHeight w:val="243"/>
        </w:trPr>
        <w:tc>
          <w:tcPr>
            <w:tcW w:w="83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Accrued self-insurance reserves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8,575</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56,378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34,200</w:t>
            </w:r>
          </w:p>
        </w:tc>
        <w:tc>
          <w:tcPr>
            <w:tcW w:w="0" w:type="dxa"/>
            <w:vAlign w:val="bottom"/>
          </w:tcPr>
          <w:p>
            <w:pPr>
              <w:spacing w:after="0"/>
              <w:rPr>
                <w:sz w:val="1"/>
                <w:szCs w:val="1"/>
                <w:color w:val="auto"/>
              </w:rPr>
            </w:pPr>
          </w:p>
        </w:tc>
      </w:tr>
      <w:tr>
        <w:trPr>
          <w:trHeight w:val="243"/>
        </w:trPr>
        <w:tc>
          <w:tcPr>
            <w:tcW w:w="83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Billings in excess of costs and earnings on uncompleted contracts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28,857</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197,808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186,058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gridSpan w:val="2"/>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257,806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65,400</w:t>
            </w:r>
          </w:p>
        </w:tc>
        <w:tc>
          <w:tcPr>
            <w:tcW w:w="0" w:type="dxa"/>
            <w:vAlign w:val="bottom"/>
          </w:tcPr>
          <w:p>
            <w:pPr>
              <w:spacing w:after="0"/>
              <w:rPr>
                <w:sz w:val="1"/>
                <w:szCs w:val="1"/>
                <w:color w:val="auto"/>
              </w:rPr>
            </w:pPr>
          </w:p>
        </w:tc>
      </w:tr>
      <w:tr>
        <w:trPr>
          <w:trHeight w:val="243"/>
        </w:trPr>
        <w:tc>
          <w:tcPr>
            <w:tcW w:w="83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3,980</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self-insurance reserves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8,831</w:t>
            </w:r>
          </w:p>
        </w:tc>
        <w:tc>
          <w:tcPr>
            <w:tcW w:w="0" w:type="dxa"/>
            <w:vAlign w:val="bottom"/>
          </w:tcPr>
          <w:p>
            <w:pPr>
              <w:spacing w:after="0"/>
              <w:rPr>
                <w:sz w:val="1"/>
                <w:szCs w:val="1"/>
                <w:color w:val="auto"/>
              </w:rPr>
            </w:pPr>
          </w:p>
        </w:tc>
      </w:tr>
      <w:tr>
        <w:trPr>
          <w:trHeight w:val="243"/>
        </w:trPr>
        <w:tc>
          <w:tcPr>
            <w:tcW w:w="83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4,025</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59,086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45,787</w:t>
            </w:r>
          </w:p>
        </w:tc>
        <w:tc>
          <w:tcPr>
            <w:tcW w:w="0" w:type="dxa"/>
            <w:vAlign w:val="bottom"/>
          </w:tcPr>
          <w:p>
            <w:pPr>
              <w:spacing w:after="0"/>
              <w:rPr>
                <w:sz w:val="1"/>
                <w:szCs w:val="1"/>
                <w:color w:val="auto"/>
              </w:rPr>
            </w:pPr>
          </w:p>
        </w:tc>
      </w:tr>
      <w:tr>
        <w:trPr>
          <w:trHeight w:val="243"/>
        </w:trPr>
        <w:tc>
          <w:tcPr>
            <w:tcW w:w="83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Commitments and contingent liabilities (Note 14)</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3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Common stock of $0.33-1/3 par value; authorized 50,000,000 shares; issued and outstanding 28,642,749</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28,680,841 respectively</w:t>
            </w:r>
          </w:p>
        </w:tc>
        <w:tc>
          <w:tcPr>
            <w:tcW w:w="14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9,560</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152,711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150,111</w:t>
            </w:r>
          </w:p>
        </w:tc>
        <w:tc>
          <w:tcPr>
            <w:tcW w:w="0" w:type="dxa"/>
            <w:vAlign w:val="bottom"/>
          </w:tcPr>
          <w:p>
            <w:pPr>
              <w:spacing w:after="0"/>
              <w:rPr>
                <w:sz w:val="1"/>
                <w:szCs w:val="1"/>
                <w:color w:val="auto"/>
              </w:rPr>
            </w:pPr>
          </w:p>
        </w:tc>
      </w:tr>
      <w:tr>
        <w:trPr>
          <w:trHeight w:val="243"/>
        </w:trPr>
        <w:tc>
          <w:tcPr>
            <w:tcW w:w="83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355,623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341,996</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held in trust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43"/>
        </w:trPr>
        <w:tc>
          <w:tcPr>
            <w:tcW w:w="83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Deferred compensation obligations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(31,090)</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501,374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470,577</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1,039,376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784,658</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420"/>
          </w:cols>
          <w:pgMar w:left="240" w:top="108" w:right="2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08" w:right="239" w:bottom="1440" w:gutter="0" w:footer="0" w:header="0"/>
          <w:type w:val="continuous"/>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5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2, 2017</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August 27, 2016</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w:t>
            </w:r>
          </w:p>
        </w:tc>
        <w:tc>
          <w:tcPr>
            <w:tcW w:w="200" w:type="dxa"/>
            <w:vAlign w:val="bottom"/>
          </w:tcPr>
          <w:p>
            <w:pPr>
              <w:spacing w:after="0"/>
              <w:rPr>
                <w:sz w:val="12"/>
                <w:szCs w:val="12"/>
                <w:color w:val="auto"/>
              </w:rPr>
            </w:pPr>
          </w:p>
        </w:tc>
        <w:tc>
          <w:tcPr>
            <w:tcW w:w="1060" w:type="dxa"/>
            <w:vAlign w:val="bottom"/>
          </w:tcPr>
          <w:p>
            <w:pPr>
              <w:jc w:val="right"/>
              <w:ind w:right="232"/>
              <w:spacing w:after="0" w:line="149" w:lineRule="exact"/>
              <w:rPr>
                <w:sz w:val="20"/>
                <w:szCs w:val="20"/>
                <w:color w:val="auto"/>
              </w:rPr>
            </w:pPr>
            <w:r>
              <w:rPr>
                <w:rFonts w:ascii="Times New Roman" w:cs="Times New Roman" w:eastAsia="Times New Roman" w:hAnsi="Times New Roman"/>
                <w:sz w:val="14"/>
                <w:szCs w:val="14"/>
                <w:b w:val="1"/>
                <w:bCs w:val="1"/>
                <w:color w:val="auto"/>
              </w:rPr>
              <w:t>August 27,</w:t>
            </w:r>
          </w:p>
        </w:tc>
        <w:tc>
          <w:tcPr>
            <w:tcW w:w="0" w:type="dxa"/>
            <w:vAlign w:val="bottom"/>
          </w:tcPr>
          <w:p>
            <w:pPr>
              <w:spacing w:after="0"/>
              <w:rPr>
                <w:sz w:val="1"/>
                <w:szCs w:val="1"/>
                <w:color w:val="auto"/>
              </w:rPr>
            </w:pPr>
          </w:p>
        </w:tc>
      </w:tr>
      <w:tr>
        <w:trPr>
          <w:trHeight w:val="195"/>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343,907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278,455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616,214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526,335</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257,906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205,924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459,919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389,377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86,001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72,531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156,295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136,958</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58,227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39,483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104,415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77,661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27,774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33,048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51,880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59,297</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26,318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33,366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50,325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59,989</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16,813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19,870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17,409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22,397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33,512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40,119</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28,850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28,891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28,850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28,797</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28,908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28,960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28,885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28,927</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EARNINGS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September 2, 2017</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August 27, 2016</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w:t>
            </w:r>
          </w:p>
        </w:tc>
        <w:tc>
          <w:tcPr>
            <w:tcW w:w="200" w:type="dxa"/>
            <w:vAlign w:val="bottom"/>
          </w:tcPr>
          <w:p>
            <w:pPr>
              <w:spacing w:after="0"/>
              <w:rPr>
                <w:sz w:val="12"/>
                <w:szCs w:val="12"/>
                <w:color w:val="auto"/>
              </w:rPr>
            </w:pPr>
          </w:p>
        </w:tc>
        <w:tc>
          <w:tcPr>
            <w:tcW w:w="106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August 27,</w:t>
            </w:r>
          </w:p>
        </w:tc>
        <w:tc>
          <w:tcPr>
            <w:tcW w:w="0" w:type="dxa"/>
            <w:vAlign w:val="bottom"/>
          </w:tcPr>
          <w:p>
            <w:pPr>
              <w:spacing w:after="0"/>
              <w:rPr>
                <w:sz w:val="1"/>
                <w:szCs w:val="1"/>
                <w:color w:val="auto"/>
              </w:rPr>
            </w:pPr>
          </w:p>
        </w:tc>
      </w:tr>
      <w:tr>
        <w:trPr>
          <w:trHeight w:val="195"/>
        </w:trPr>
        <w:tc>
          <w:tcPr>
            <w:tcW w:w="5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17,409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22,397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33,512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40,119</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comprehensive earnings: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8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gain on marketable securities, net of $17, $43, $50 and $35 of</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tax expense, respectively</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3"/>
        </w:trPr>
        <w:tc>
          <w:tcPr>
            <w:tcW w:w="5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15,207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14,490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4,525</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earnings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15,237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14,582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4,590</w:t>
            </w:r>
          </w:p>
        </w:tc>
        <w:tc>
          <w:tcPr>
            <w:tcW w:w="0" w:type="dxa"/>
            <w:vAlign w:val="bottom"/>
          </w:tcPr>
          <w:p>
            <w:pPr>
              <w:spacing w:after="0"/>
              <w:rPr>
                <w:sz w:val="1"/>
                <w:szCs w:val="1"/>
                <w:color w:val="auto"/>
              </w:rPr>
            </w:pPr>
          </w:p>
        </w:tc>
      </w:tr>
      <w:tr>
        <w:trPr>
          <w:trHeight w:val="257"/>
        </w:trPr>
        <w:tc>
          <w:tcPr>
            <w:tcW w:w="5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comprehensive earnings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32,646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24,108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48,094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44,709</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4"/>
        </w:trPr>
        <w:tc>
          <w:tcPr>
            <w:tcW w:w="8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September 2, 2017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August 27, 2016</w:t>
            </w:r>
          </w:p>
        </w:tc>
      </w:tr>
      <w:tr>
        <w:trPr>
          <w:trHeight w:val="249"/>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33,512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40,119</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15,955</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2,935</w:t>
            </w:r>
          </w:p>
        </w:tc>
      </w:tr>
      <w:tr>
        <w:trPr>
          <w:trHeight w:val="243"/>
        </w:trPr>
        <w:tc>
          <w:tcPr>
            <w:tcW w:w="8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43"/>
        </w:trPr>
        <w:tc>
          <w:tcPr>
            <w:tcW w:w="8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Proceeds from New Markets Tax Credit transaction, net of deferred costs</w:t>
            </w: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5,109</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Receivables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(14,297)</w:t>
            </w:r>
          </w:p>
        </w:tc>
      </w:tr>
      <w:tr>
        <w:trPr>
          <w:trHeight w:val="243"/>
        </w:trPr>
        <w:tc>
          <w:tcPr>
            <w:tcW w:w="8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w:t>
            </w:r>
          </w:p>
        </w:tc>
      </w:tr>
      <w:tr>
        <w:trPr>
          <w:trHeight w:val="243"/>
        </w:trPr>
        <w:tc>
          <w:tcPr>
            <w:tcW w:w="8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Billings in excess of costs and earnings on uncompleted contracts</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10,711</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Refundable and accrued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243"/>
        </w:trPr>
        <w:tc>
          <w:tcPr>
            <w:tcW w:w="8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40,809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43,542</w:t>
            </w:r>
          </w:p>
        </w:tc>
      </w:tr>
      <w:tr>
        <w:trPr>
          <w:trHeight w:val="22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41"/>
        </w:trPr>
        <w:tc>
          <w:tcPr>
            <w:tcW w:w="8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(31,474)</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1,713</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Change in restricted cash</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(16,949)</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Sales/maturities of marketable securities</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2,294</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r>
      <w:tr>
        <w:trPr>
          <w:trHeight w:val="237"/>
        </w:trPr>
        <w:tc>
          <w:tcPr>
            <w:tcW w:w="85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(203,819)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(49,305)</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284,200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Shares withheld for taxes, net of stock issued to employees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Dividends paid</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7"/>
        </w:trPr>
        <w:tc>
          <w:tcPr>
            <w:tcW w:w="85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171,520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(8,105)</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(13,868)</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374</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19,463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60,470</w:t>
            </w:r>
          </w:p>
        </w:tc>
      </w:tr>
      <w:tr>
        <w:trPr>
          <w:trHeight w:val="237"/>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29,528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46,976</w:t>
            </w:r>
          </w:p>
        </w:tc>
      </w:tr>
      <w:tr>
        <w:trPr>
          <w:trHeight w:val="67"/>
        </w:trPr>
        <w:tc>
          <w:tcPr>
            <w:tcW w:w="84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Noncash Activity</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Capital expenditures in 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2,520</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8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payments on acquisition of business</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Deferred</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40" w:type="dxa"/>
            <w:vAlign w:val="bottom"/>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16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12"/>
                <w:szCs w:val="12"/>
                <w:color w:val="auto"/>
              </w:rPr>
            </w:pPr>
          </w:p>
        </w:tc>
        <w:tc>
          <w:tcPr>
            <w:tcW w:w="8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Stock Held in</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c>
          <w:tcPr>
            <w:tcW w:w="140" w:type="dxa"/>
            <w:vAlign w:val="bottom"/>
          </w:tcPr>
          <w:p>
            <w:pPr>
              <w:spacing w:after="0"/>
              <w:rPr>
                <w:sz w:val="12"/>
                <w:szCs w:val="12"/>
                <w:color w:val="auto"/>
              </w:rPr>
            </w:pPr>
          </w:p>
        </w:tc>
        <w:tc>
          <w:tcPr>
            <w:tcW w:w="1100" w:type="dxa"/>
            <w:vAlign w:val="bottom"/>
          </w:tcPr>
          <w:p>
            <w:pPr>
              <w:jc w:val="center"/>
              <w:ind w:right="92"/>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r>
      <w:tr>
        <w:trPr>
          <w:trHeight w:val="186"/>
        </w:trPr>
        <w:tc>
          <w:tcPr>
            <w:tcW w:w="3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89"/>
              </w:rPr>
              <w:t>Trust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7"/>
              </w:rPr>
              <w:t>Obligation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4"/>
              </w:rPr>
              <w:t>(Loss) Income</w:t>
            </w:r>
          </w:p>
        </w:tc>
      </w:tr>
      <w:tr>
        <w:trPr>
          <w:trHeight w:val="257"/>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March 4, 2017</w:t>
            </w: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28,680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9,560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150,111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341,996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875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(31,090)</w:t>
            </w:r>
          </w:p>
        </w:tc>
      </w:tr>
      <w:tr>
        <w:trPr>
          <w:trHeight w:val="263"/>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Net earnings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33,512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Unrealized gain on marketable securities, net of $50 tax</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0"/>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expense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92</w:t>
            </w:r>
          </w:p>
        </w:tc>
      </w:tr>
      <w:tr>
        <w:trPr>
          <w:trHeight w:val="263"/>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14,490</w:t>
            </w:r>
          </w:p>
        </w:tc>
      </w:tr>
      <w:tr>
        <w:trPr>
          <w:trHeight w:val="277"/>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63"/>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3,063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77"/>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63"/>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Share repurchases</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(1,091)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77"/>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Cash dividends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43"/>
        </w:trPr>
        <w:tc>
          <w:tcPr>
            <w:tcW w:w="33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September 2, 2017</w:t>
            </w:r>
          </w:p>
        </w:tc>
        <w:tc>
          <w:tcPr>
            <w:tcW w:w="1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28,642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9,548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152,711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355,623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897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(16,508)</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05"/>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February 27, 2016</w:t>
            </w: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28,684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9,561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145,528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282,477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837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(31,371)</w:t>
            </w:r>
          </w:p>
        </w:tc>
      </w:tr>
      <w:tr>
        <w:trPr>
          <w:trHeight w:val="263"/>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Net earnings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40,119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Unrealized gain on marketable securities, net of $35 tax</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0"/>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expense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65</w:t>
            </w:r>
          </w:p>
        </w:tc>
      </w:tr>
      <w:tr>
        <w:trPr>
          <w:trHeight w:val="263"/>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4,525</w:t>
            </w:r>
          </w:p>
        </w:tc>
      </w:tr>
      <w:tr>
        <w:trPr>
          <w:trHeight w:val="277"/>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63"/>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2,935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77"/>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Tax benefit associated with stock plans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63"/>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1,211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77"/>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Cash dividends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43"/>
        </w:trPr>
        <w:tc>
          <w:tcPr>
            <w:tcW w:w="33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August 27, 2016</w:t>
            </w:r>
          </w:p>
        </w:tc>
        <w:tc>
          <w:tcPr>
            <w:tcW w:w="1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28,896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9,632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149,956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313,449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853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(26,781)</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76"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Apogee Enterprises, Inc. (we, us, our or the Company) have been prepared in accordance with accounting principles generally accepted in the United States. The information included in this Form 10-Q should be read in conjunction with the Company’s Form 10-K for the year ended March 4, 2017. We use the same accounting policies in preparing quarterly and annual financial statements. All adjustments necessary for a fair presentation of quarterly operating results are reflected herein and are of a normal, recurring nature. The results of operations for the six-month period ended September 2, 2017 are not necessarily indicative of the results to be expected for the full year.</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preparing the unaudited consolidated financial statements for the six months ended September 2, 2017, we evaluated subsequent events for potential recognition and disclosure through the date of this filing and determined there were no items to recognize or disclose.</w:t>
      </w:r>
    </w:p>
    <w:p>
      <w:pPr>
        <w:spacing w:after="0" w:line="15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Standards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which outlines a single comprehensive model to use in accounting for revenue arising from contracts with customers and supersedes most current revenue recognition guidance. Under the new standard, an entity recognizes revenue to depict the transfer of promised goods or services to customers in an amount that reflects the consideration to which the entity expects to be entitled in exchange for those goods or services. This guidance is effective for annual reporting periods beginning after December 15, 2017, our fiscal 2019. We are currently undertaking a process to quantify the impact that this standard will have on our consolidated financial statements and will provide further analysis and discussion as we progress in this quantification process. At this time:</w:t>
      </w:r>
    </w:p>
    <w:p>
      <w:pPr>
        <w:spacing w:after="0" w:line="2" w:lineRule="exact"/>
        <w:rPr>
          <w:sz w:val="20"/>
          <w:szCs w:val="20"/>
          <w:color w:val="auto"/>
        </w:rPr>
      </w:pPr>
    </w:p>
    <w:p>
      <w:pPr>
        <w:ind w:left="660" w:right="2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process of evaluating the significance of the guidance to our operations and as we proceed, we will finalize our determination of adoption method.</w:t>
      </w: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have business units that will continue to recognize revenue at the point in time when goods are shipped, as that represents when control is transferred to the customer, and business units that will continue to recognize revenue over time, following a cost-to-cost percentage of completion method of revenue recognition. Additionally, we expect that at least one of our business units will change from recognizing revenue at a point in time to recognizing revenue over time, to better reflect transfer of control to the customer in line with the new guidance. We are continuing to assess the appropriate measure of progress toward completion, based on the facts and circumstances specific to the performance obligations and terms of sale of each business.</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also in the process of evaluating how the revenue recognition guidance applies to our recently acquired businesses, Sotawall and EFCO.</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provides for comprehensive changes to lease accounting. The new standard requires that a lessee recognize a lease obligation liability and a right to use asset for virtually all leases of property, plant and equipment, subsequently amortized over the lease term. The new standard is effective for fiscal years beginning after December 15, 2018, our fiscal year 2020, with a modified retrospective transition. The adoption of this standard will result in reflecting assets and liabilities for the value of our leased property and equipment on our consolidated balance sheet, but we do not currently expect this guidance to have a significant impact on our consolidated results of operations.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August 2016, the FASB issued ASU 2016-15, </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xml:space="preserve">, and in November 2016, it issued 2016-18,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Both standards provide guidance for presentation of certain topics within the statement of cash flows, including presenting restricted cash within cash and cash equivalents, and are intended to improve consistency in presentation. The new classification guidance is effective for fiscal years beginning after December 15, 2017, our fiscal year 2019, and is to be applied retrospectively for comparability across all periods. We may adopt these standards early, and we are considering the timing of adoption. We do not expect this guidance to have a significant impact on our consolidated financial statements.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which simplifies the accounting for goodwill impairment by requiring impairment charges to be based on the first step in the current two-step impairment test process. The new guidance eliminates the current requirement to calculate a goodwill impairment charge using step 2. The standard is applicable to impairment tests performed in periods beginning after December 15, 2019, our fiscal 2021, with early adoption permitted. We are currently evaluating early adoption of this guidance for our future annual goodwill impairment review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3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Total share-based compensation expense included in the results of operations was $3.1 million for the six-month period ended September 2, 2017 and 2.9 million for the six-month period ended August 27,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and SARs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stock options or SARs issued in months of either period presented. Activity for the current period is summarized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Stock Options and SARs</w:t>
            </w:r>
          </w:p>
        </w:tc>
        <w:tc>
          <w:tcPr>
            <w:tcW w:w="120" w:type="dxa"/>
            <w:vAlign w:val="bottom"/>
            <w:vMerge w:val="restart"/>
          </w:tcPr>
          <w:p>
            <w:pPr>
              <w:spacing w:after="0"/>
              <w:rPr>
                <w:sz w:val="12"/>
                <w:szCs w:val="12"/>
                <w:color w:val="auto"/>
              </w:rPr>
            </w:pPr>
          </w:p>
        </w:tc>
        <w:tc>
          <w:tcPr>
            <w:tcW w:w="138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March 4, 2017</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229,901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Awards exercised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and exercisable at September 2, 2017</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129,901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11.10</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3.3 Years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4,191,562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proceeds from the exercise of stock options were $0.8 million and $1.3 million for the six months ended September 2, 2017 and August 27, 2016, respectively. The aggregate intrinsic value of securities exercised (the amount by which the stock price on the date of exercise exceeded the stock price of the award on the date of grant) was $4.8 million during the six months ended September 2, 2017 and $4.5 million during the prior-year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Shares and Share Units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share activity for the current period is summarized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Nonvested Shares and Units</w:t>
            </w:r>
          </w:p>
        </w:tc>
        <w:tc>
          <w:tcPr>
            <w:tcW w:w="120" w:type="dxa"/>
            <w:vAlign w:val="bottom"/>
            <w:vMerge w:val="restart"/>
          </w:tcPr>
          <w:p>
            <w:pPr>
              <w:spacing w:after="0"/>
              <w:rPr>
                <w:sz w:val="13"/>
                <w:szCs w:val="13"/>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 Shares and</w:t>
            </w:r>
          </w:p>
        </w:tc>
        <w:tc>
          <w:tcPr>
            <w:tcW w:w="180" w:type="dxa"/>
            <w:vAlign w:val="bottom"/>
          </w:tcPr>
          <w:p>
            <w:pPr>
              <w:spacing w:after="0"/>
              <w:rPr>
                <w:sz w:val="13"/>
                <w:szCs w:val="13"/>
                <w:color w:val="auto"/>
              </w:rPr>
            </w:pPr>
          </w:p>
        </w:tc>
        <w:tc>
          <w:tcPr>
            <w:tcW w:w="14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8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49"/>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March 4, 2017</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279,204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44.80</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124,416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55.40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45.24</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Canceled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55.84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September 2, 2017</w:t>
            </w: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268,977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49.24</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2, 2017, there was $10.1 million of total unrecognized compensation cost related to nonvested share and nonvested share unit awards, which is expected to be recognized over a weighted average period of approximately 23 months. The total fair value of shares vested during the six months ended September 2, 2017 was $6.9 million.</w:t>
      </w:r>
    </w:p>
    <w:p>
      <w:pPr>
        <w:spacing w:after="0" w:line="172"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share amounts used in the computation of basic and diluted earnings per share: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3100" w:type="dxa"/>
            <w:vAlign w:val="bottom"/>
            <w:tcBorders>
              <w:bottom w:val="single" w:sz="8" w:color="auto"/>
            </w:tcBorders>
            <w:gridSpan w:val="3"/>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5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2, 2017</w:t>
            </w:r>
          </w:p>
        </w:tc>
        <w:tc>
          <w:tcPr>
            <w:tcW w:w="15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August 27, 2016</w:t>
            </w:r>
          </w:p>
        </w:tc>
        <w:tc>
          <w:tcPr>
            <w:tcW w:w="13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w:t>
            </w:r>
          </w:p>
        </w:tc>
        <w:tc>
          <w:tcPr>
            <w:tcW w:w="1240" w:type="dxa"/>
            <w:vAlign w:val="bottom"/>
          </w:tcPr>
          <w:p>
            <w:pPr>
              <w:jc w:val="right"/>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August 27,</w:t>
            </w:r>
          </w:p>
        </w:tc>
        <w:tc>
          <w:tcPr>
            <w:tcW w:w="0" w:type="dxa"/>
            <w:vAlign w:val="bottom"/>
          </w:tcPr>
          <w:p>
            <w:pPr>
              <w:spacing w:after="0"/>
              <w:rPr>
                <w:sz w:val="1"/>
                <w:szCs w:val="1"/>
                <w:color w:val="auto"/>
              </w:rPr>
            </w:pPr>
          </w:p>
        </w:tc>
      </w:tr>
      <w:tr>
        <w:trPr>
          <w:trHeight w:val="195"/>
        </w:trPr>
        <w:tc>
          <w:tcPr>
            <w:tcW w:w="5620" w:type="dxa"/>
            <w:vAlign w:val="bottom"/>
            <w:vMerge w:val="continue"/>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12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share – weighted average common shares outstanding</w:t>
            </w:r>
          </w:p>
        </w:tc>
        <w:tc>
          <w:tcPr>
            <w:tcW w:w="15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28,850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28,891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28,850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28,797</w:t>
            </w:r>
          </w:p>
        </w:tc>
        <w:tc>
          <w:tcPr>
            <w:tcW w:w="0" w:type="dxa"/>
            <w:vAlign w:val="bottom"/>
          </w:tcPr>
          <w:p>
            <w:pPr>
              <w:spacing w:after="0"/>
              <w:rPr>
                <w:sz w:val="1"/>
                <w:szCs w:val="1"/>
                <w:color w:val="auto"/>
              </w:rPr>
            </w:pPr>
          </w:p>
        </w:tc>
      </w:tr>
      <w:tr>
        <w:trPr>
          <w:trHeight w:val="225"/>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effect of nonvested share grants and assumed exercise of</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15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0"/>
                <w:szCs w:val="20"/>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0"/>
                <w:szCs w:val="20"/>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2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Diluted earnings per share – weighted average common shares and potential</w:t>
            </w:r>
          </w:p>
        </w:tc>
        <w:tc>
          <w:tcPr>
            <w:tcW w:w="150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28,908</w:t>
            </w:r>
          </w:p>
        </w:tc>
        <w:tc>
          <w:tcPr>
            <w:tcW w:w="12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28,960</w:t>
            </w:r>
          </w:p>
        </w:tc>
        <w:tc>
          <w:tcPr>
            <w:tcW w:w="1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28,885</w:t>
            </w:r>
          </w:p>
        </w:tc>
        <w:tc>
          <w:tcPr>
            <w:tcW w:w="12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28,927</w:t>
            </w:r>
          </w:p>
        </w:tc>
        <w:tc>
          <w:tcPr>
            <w:tcW w:w="0" w:type="dxa"/>
            <w:vAlign w:val="bottom"/>
          </w:tcPr>
          <w:p>
            <w:pPr>
              <w:spacing w:after="0"/>
              <w:rPr>
                <w:sz w:val="1"/>
                <w:szCs w:val="1"/>
                <w:color w:val="auto"/>
              </w:rPr>
            </w:pPr>
          </w:p>
        </w:tc>
      </w:tr>
      <w:tr>
        <w:trPr>
          <w:trHeight w:val="241"/>
        </w:trPr>
        <w:tc>
          <w:tcPr>
            <w:tcW w:w="5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anti-dilutive stock options excluded from the calculation of earnings per share for any of the periods presented, as the average market price exceeded the exercise price of options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8120" w:type="dxa"/>
            <w:vAlign w:val="bottom"/>
            <w:gridSpan w:val="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Table of Contents</w:t>
              </w:r>
            </w:hyperlink>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5.  Inventories</w:t>
            </w:r>
          </w:p>
        </w:tc>
        <w:tc>
          <w:tcPr>
            <w:tcW w:w="6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0"/>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 2017</w:t>
            </w:r>
          </w:p>
        </w:tc>
        <w:tc>
          <w:tcPr>
            <w:tcW w:w="240" w:type="dxa"/>
            <w:vAlign w:val="bottom"/>
          </w:tcPr>
          <w:p>
            <w:pPr>
              <w:spacing w:after="0"/>
              <w:rPr>
                <w:sz w:val="24"/>
                <w:szCs w:val="24"/>
                <w:color w:val="auto"/>
              </w:rPr>
            </w:pPr>
          </w:p>
        </w:tc>
        <w:tc>
          <w:tcPr>
            <w:tcW w:w="13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March 4, 2017</w:t>
            </w:r>
          </w:p>
        </w:tc>
      </w:tr>
      <w:tr>
        <w:trPr>
          <w:trHeight w:val="249"/>
        </w:trPr>
        <w:tc>
          <w:tcPr>
            <w:tcW w:w="8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35,737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22,761</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Work-in-process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25,904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16,154</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29,372</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Costs and earnings in excess of billings on uncompleted contracts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5,122</w:t>
            </w: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103,673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73,409</w:t>
            </w:r>
          </w:p>
        </w:tc>
      </w:tr>
      <w:tr>
        <w:trPr>
          <w:trHeight w:val="20"/>
        </w:trPr>
        <w:tc>
          <w:tcPr>
            <w:tcW w:w="12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Marketable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 are classified as available for sale: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3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538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3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9"/>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 2017</w:t>
            </w: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10,686</w:t>
            </w:r>
          </w:p>
        </w:tc>
        <w:tc>
          <w:tcPr>
            <w:tcW w:w="10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10,821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March 4, 2017</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9,595</w:t>
            </w:r>
          </w:p>
        </w:tc>
        <w:tc>
          <w:tcPr>
            <w:tcW w:w="10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9,589</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wholly-owned insurance subsidiary, Prism Assurance, Ltd. (Prism), which holds municipal bonds. Prism insures a portion of our general liability, workers’ compensation and automobile liability risks using reinsurance agreements to meet statutory requirements. The reinsurance carrier requires Prism to maintain fixed-maturity investments, which are generally high-quality municipal bonds, for the purpose of providing collateral for Prism’s obligations under the reinsurance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2, 2017, marketable securities with a fair value of $1.2 million have been in a continuous unrealized loss position for more than 12 months with unrealized losses of $0.1 million. We consider these unrealized losses to be temporary in nature. We intend to hold our investments until the full principal amount can be recovered, and we have the ability to do so based on other sources of liquidity. Gross realized gains and losses were not significant during the first six months of fiscal 2018 or fiscal 2017.</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and estimated fair values of municipal bonds at September 2, 2017, by contractual maturity, are shown below. Expected maturities may differ from contractual maturities, as borrowers may have the right to call or prepay obligations with or without penalty.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15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49"/>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within one year</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464</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3,511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after five years through 10 years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5,253</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10 years through 15 years</w:t>
            </w:r>
          </w:p>
        </w:tc>
        <w:tc>
          <w:tcPr>
            <w:tcW w:w="2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1,242</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beyond 15 years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351</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10,686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10,821</w:t>
            </w: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assets or liabilities.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08"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 Observable</w:t>
            </w: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5"/>
        </w:trPr>
        <w:tc>
          <w:tcPr>
            <w:tcW w:w="6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 2017</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1,888</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3,888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Short-term securities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Long-term securities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10,357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10,357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12,821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14,709</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March 4, 2017</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4,423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4,423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4,423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9,923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Short-term securities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Long-term securities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9,041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4,423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15,089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19,512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3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Fair value of money market funds was determined based on quoted prices for identical assets in active markets. Commercial paper was measured at fair value using inputs based on quoted prices for similar securities in active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 and long-term securities</w:t>
      </w:r>
    </w:p>
    <w:p>
      <w:pPr>
        <w:spacing w:after="0" w:line="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Municipal bonds were measured at fair value based on market prices from recent trades of similar securities and are classified as short-term or long-term based on maturity date.</w:t>
      </w:r>
    </w:p>
    <w:p>
      <w:pPr>
        <w:spacing w:after="0" w:line="176"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EFCO</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line with our overall strategic objectives, on June 12, 2017, we acquired 100 percent of the stock of EFCO Corporation, a privately held U.S. manufacturer of architectural aluminum window, curtainwall, storefront and entrance systems for commercial construction projects, for $192 million in cash, funded through our committed revolving credit facility, with $7.5 million of that amount payable in equal installments over the next three years. EFCO's results of operations have been included in our consolidated financial statements and within the Architectural Framing Systems segment since the date of acquisition. Those results include $63.7 million of sales and $1.3 million of operating income for the quarter ended September 2, 2017.</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assets and liabilities of EFCO were recorded in our consolidated balance sheet as of the acquisition date, at their respective fair values. Fair value is estimated based on one or a combination of income, cost and/or market approaches, as determined based on the nature of the asset or liability, and the level of inputs available. With respect to assets and liabilities, the determination of fair value requires management to make subjective judgments as to projections of future operating performance, the appropriate discount rate to apply, long-term growth rates, etc. (i.e. - unobservable inputs classified as Level 3 inputs under the fair value hierarchy described in Note 7), which affect the amounts recorded in the purchase price allocation. The excess of the consideration transferred over the fair value of the identifiable assets, net of liabilities, is recorded as goodwill, which is indicative of the expected continued growth and development of EFCO. The purchase price allocation is based on these estimated fair values of assets acquired and liabilities assumed, as follows: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working capital</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36,182</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43,961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55,288</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71,500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Long-term liabilities acquired, net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14,605</w:t>
            </w:r>
          </w:p>
        </w:tc>
        <w:tc>
          <w:tcPr>
            <w:tcW w:w="0" w:type="dxa"/>
            <w:vAlign w:val="bottom"/>
          </w:tcPr>
          <w:p>
            <w:pPr>
              <w:spacing w:after="0"/>
              <w:rPr>
                <w:sz w:val="1"/>
                <w:szCs w:val="1"/>
                <w:color w:val="auto"/>
              </w:rPr>
            </w:pPr>
          </w:p>
        </w:tc>
      </w:tr>
      <w:tr>
        <w:trPr>
          <w:trHeight w:val="257"/>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assets acquired</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192,326</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intangible assets reflect the following:</w:t>
            </w: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2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195"/>
        </w:trPr>
        <w:tc>
          <w:tcPr>
            <w:tcW w:w="8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49"/>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34,800</w:t>
            </w:r>
          </w:p>
        </w:tc>
        <w:tc>
          <w:tcPr>
            <w:tcW w:w="1580" w:type="dxa"/>
            <w:vAlign w:val="bottom"/>
            <w:tcBorders>
              <w:bottom w:val="single" w:sz="8" w:color="CCEEFF"/>
            </w:tcBorders>
            <w:gridSpan w:val="2"/>
            <w:shd w:val="clear" w:color="auto" w:fill="CCEEFF"/>
          </w:tcPr>
          <w:p>
            <w:pPr>
              <w:jc w:val="right"/>
              <w:ind w:right="56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Tradename</w:t>
            </w:r>
          </w:p>
        </w:tc>
        <w:tc>
          <w:tcPr>
            <w:tcW w:w="140" w:type="dxa"/>
            <w:vAlign w:val="bottom"/>
          </w:tcPr>
          <w:p>
            <w:pPr>
              <w:spacing w:after="0"/>
              <w:rPr>
                <w:sz w:val="21"/>
                <w:szCs w:val="21"/>
                <w:color w:val="auto"/>
              </w:rPr>
            </w:pP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32,400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Backlog</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4,300</w:t>
            </w:r>
          </w:p>
        </w:tc>
        <w:tc>
          <w:tcPr>
            <w:tcW w:w="1580" w:type="dxa"/>
            <w:vAlign w:val="bottom"/>
            <w:tcBorders>
              <w:bottom w:val="single" w:sz="8" w:color="CCEEFF"/>
            </w:tcBorders>
            <w:gridSpan w:val="2"/>
            <w:shd w:val="clear" w:color="auto" w:fill="CCEEFF"/>
          </w:tcPr>
          <w:p>
            <w:pPr>
              <w:jc w:val="right"/>
              <w:ind w:right="54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71,500</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fair values are based on preliminary estimates and are subject to change based on finalization of net working capital and other liability values, intangible asset valuation and other purchase price adjustments.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Sotawall</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14, 2016, we acquired substantially all the assets of Sotawall, Inc. (now operating under the name Sotawall Limited or "Sotawall"). Sotawall specializes in the design, engineering, fabrication, assembly and installation of unitized curtainwall systems for industrial, commercial and institutional buildings, primarily serving the Canadian and northeastern U.S. geographic regions. Sotawall's results of operations have been included in our consolidated financial statements and within the Architectural Framing Systems segment since the date of acquisition. Purchase accounting related to the acquisition of Sotawall was finalized during the the first quarter of fiscal 2018.</w:t>
      </w:r>
    </w:p>
    <w:p>
      <w:pPr>
        <w:spacing w:after="0" w:line="18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unaudited pro forma consolidated data for the first three- and six-month periods of fiscal 2018 and 2017 as if the two acquisitions discussed previously were consummated on each of their respective same terms at the beginning of the fiscal year preceding their respective acquisition dates.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68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75"/>
        </w:trPr>
        <w:tc>
          <w:tcPr>
            <w:tcW w:w="5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i w:val="1"/>
                <w:iCs w:val="1"/>
                <w:color w:val="auto"/>
              </w:rPr>
              <w:t>In thousands, except per share data</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 2017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August 27, 2016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 2017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August 27, 2016</w:t>
            </w:r>
          </w:p>
        </w:tc>
      </w:tr>
      <w:tr>
        <w:trPr>
          <w:trHeight w:val="249"/>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351,988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372,770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696,039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714,965</w:t>
            </w: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20,312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25,792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37,528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46,201</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1.60</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5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1.60</w:t>
            </w: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have provided this unaudited pro forma information for comparative purposes only. This information does not necessarily reflect what the combined company's results of operations actually would have been had the acquisition occurred at the beginning of fiscal year 2017. The information does not reflect the effect of any synergies or integration costs that may result from the acquisition.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Identifiable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goodwill attributable to each reporting segment was: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Architectural</w:t>
            </w: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Architectural Glass</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Architectural</w:t>
            </w:r>
          </w:p>
        </w:tc>
        <w:tc>
          <w:tcPr>
            <w:tcW w:w="18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Large-Scale</w:t>
            </w:r>
          </w:p>
        </w:tc>
        <w:tc>
          <w:tcPr>
            <w:tcW w:w="300" w:type="dxa"/>
            <w:vAlign w:val="bottom"/>
          </w:tcPr>
          <w:p>
            <w:pPr>
              <w:spacing w:after="0"/>
              <w:rPr>
                <w:sz w:val="13"/>
                <w:szCs w:val="13"/>
                <w:color w:val="auto"/>
              </w:rPr>
            </w:pPr>
          </w:p>
        </w:tc>
        <w:tc>
          <w:tcPr>
            <w:tcW w:w="94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700" w:type="dxa"/>
            <w:vAlign w:val="bottom"/>
            <w:gridSpan w:val="3"/>
            <w:vMerge w:val="continue"/>
          </w:tcPr>
          <w:p>
            <w:pPr>
              <w:spacing w:after="0"/>
              <w:rPr>
                <w:sz w:val="13"/>
                <w:szCs w:val="13"/>
                <w:color w:val="auto"/>
              </w:rPr>
            </w:pPr>
          </w:p>
        </w:tc>
        <w:tc>
          <w:tcPr>
            <w:tcW w:w="1400" w:type="dxa"/>
            <w:vAlign w:val="bottom"/>
            <w:gridSpan w:val="3"/>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Framing Systems</w:t>
            </w:r>
          </w:p>
        </w:tc>
        <w:tc>
          <w:tcPr>
            <w:tcW w:w="13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3"/>
                <w:szCs w:val="13"/>
                <w:color w:val="auto"/>
              </w:rPr>
            </w:pPr>
          </w:p>
        </w:tc>
        <w:tc>
          <w:tcPr>
            <w:tcW w:w="11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Optical</w:t>
            </w: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February 27,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36,680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10,557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73,996</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Goodwill acquired</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27,444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27,444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March 4, 2017</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63,701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25,956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10,557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101,334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acquired, net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48,914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48,914</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3,235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September 2, 2017</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115,878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10,557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153,483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of other intangible assets and related accumulated amortization was: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320" w:type="dxa"/>
            <w:vAlign w:val="bottom"/>
          </w:tcPr>
          <w:p>
            <w:pPr>
              <w:spacing w:after="0"/>
              <w:rPr>
                <w:sz w:val="12"/>
                <w:szCs w:val="12"/>
                <w:color w:val="auto"/>
              </w:rPr>
            </w:pPr>
          </w:p>
        </w:tc>
        <w:tc>
          <w:tcPr>
            <w:tcW w:w="92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5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 2017</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issue costs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1,422</w:t>
            </w:r>
          </w:p>
        </w:tc>
        <w:tc>
          <w:tcPr>
            <w:tcW w:w="0" w:type="dxa"/>
            <w:vAlign w:val="bottom"/>
          </w:tcPr>
          <w:p>
            <w:pPr>
              <w:spacing w:after="0"/>
              <w:rPr>
                <w:sz w:val="1"/>
                <w:szCs w:val="1"/>
                <w:color w:val="auto"/>
              </w:rPr>
            </w:pPr>
          </w:p>
        </w:tc>
      </w:tr>
      <w:tr>
        <w:trPr>
          <w:trHeight w:val="243"/>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Non-compete agreements</w:t>
            </w:r>
          </w:p>
        </w:tc>
        <w:tc>
          <w:tcPr>
            <w:tcW w:w="2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120,344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108,661</w:t>
            </w:r>
          </w:p>
        </w:tc>
        <w:tc>
          <w:tcPr>
            <w:tcW w:w="0" w:type="dxa"/>
            <w:vAlign w:val="bottom"/>
          </w:tcPr>
          <w:p>
            <w:pPr>
              <w:spacing w:after="0"/>
              <w:rPr>
                <w:sz w:val="1"/>
                <w:szCs w:val="1"/>
                <w:color w:val="auto"/>
              </w:rPr>
            </w:pPr>
          </w:p>
        </w:tc>
      </w:tr>
      <w:tr>
        <w:trPr>
          <w:trHeight w:val="243"/>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Trademarks and other intangibles</w:t>
            </w:r>
          </w:p>
        </w:tc>
        <w:tc>
          <w:tcPr>
            <w:tcW w:w="2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30,250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21,125</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161,393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6,851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131,387</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Trademarks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48,461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49,737</w:t>
            </w:r>
          </w:p>
        </w:tc>
        <w:tc>
          <w:tcPr>
            <w:tcW w:w="0" w:type="dxa"/>
            <w:vAlign w:val="bottom"/>
          </w:tcPr>
          <w:p>
            <w:pPr>
              <w:spacing w:after="0"/>
              <w:rPr>
                <w:sz w:val="1"/>
                <w:szCs w:val="1"/>
                <w:color w:val="auto"/>
              </w:rPr>
            </w:pPr>
          </w:p>
        </w:tc>
      </w:tr>
      <w:tr>
        <w:trPr>
          <w:trHeight w:val="237"/>
        </w:trPr>
        <w:tc>
          <w:tcPr>
            <w:tcW w:w="6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209,854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8,127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181,124</w:t>
            </w:r>
          </w:p>
        </w:tc>
        <w:tc>
          <w:tcPr>
            <w:tcW w:w="0" w:type="dxa"/>
            <w:vAlign w:val="bottom"/>
          </w:tcPr>
          <w:p>
            <w:pPr>
              <w:spacing w:after="0"/>
              <w:rPr>
                <w:sz w:val="1"/>
                <w:szCs w:val="1"/>
                <w:color w:val="auto"/>
              </w:rPr>
            </w:pPr>
          </w:p>
        </w:tc>
      </w:tr>
      <w:tr>
        <w:trPr>
          <w:trHeight w:val="67"/>
        </w:trPr>
        <w:tc>
          <w:tcPr>
            <w:tcW w:w="59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March 4, 2017</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issue costs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43"/>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Non-compete agreements</w:t>
            </w:r>
          </w:p>
        </w:tc>
        <w:tc>
          <w:tcPr>
            <w:tcW w:w="2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82,479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68,321</w:t>
            </w:r>
          </w:p>
        </w:tc>
        <w:tc>
          <w:tcPr>
            <w:tcW w:w="0" w:type="dxa"/>
            <w:vAlign w:val="bottom"/>
          </w:tcPr>
          <w:p>
            <w:pPr>
              <w:spacing w:after="0"/>
              <w:rPr>
                <w:sz w:val="1"/>
                <w:szCs w:val="1"/>
                <w:color w:val="auto"/>
              </w:rPr>
            </w:pPr>
          </w:p>
        </w:tc>
      </w:tr>
      <w:tr>
        <w:trPr>
          <w:trHeight w:val="243"/>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Trademarks and other intangibles</w:t>
            </w:r>
          </w:p>
        </w:tc>
        <w:tc>
          <w:tcPr>
            <w:tcW w:w="2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25,950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21,002</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118,781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90,625</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Trademarks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16,022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16,061</w:t>
            </w:r>
          </w:p>
        </w:tc>
        <w:tc>
          <w:tcPr>
            <w:tcW w:w="0" w:type="dxa"/>
            <w:vAlign w:val="bottom"/>
          </w:tcPr>
          <w:p>
            <w:pPr>
              <w:spacing w:after="0"/>
              <w:rPr>
                <w:sz w:val="1"/>
                <w:szCs w:val="1"/>
                <w:color w:val="auto"/>
              </w:rPr>
            </w:pPr>
          </w:p>
        </w:tc>
      </w:tr>
      <w:tr>
        <w:trPr>
          <w:trHeight w:val="237"/>
        </w:trPr>
        <w:tc>
          <w:tcPr>
            <w:tcW w:w="6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134,803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106,686</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expense on definite-lived intangible assets was $7.9 million and $0.8 million for the six-month periods ended September 2, 2017 and August 27, 2016, respectively. The amortization expense associated with debt issue costs is included in interest expense while the remainder is in selling, general and administrative expenses in the consolidated results of operations. At September 2, 2017, the estimated future amortization expense for definite-lived intangible assets was: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Remainder of Fiscal</w:t>
            </w:r>
          </w:p>
        </w:tc>
        <w:tc>
          <w:tcPr>
            <w:tcW w:w="24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Fiscal 2019</w:t>
            </w:r>
          </w:p>
        </w:tc>
        <w:tc>
          <w:tcPr>
            <w:tcW w:w="220" w:type="dxa"/>
            <w:vAlign w:val="bottom"/>
          </w:tcPr>
          <w:p>
            <w:pPr>
              <w:spacing w:after="0"/>
              <w:rPr>
                <w:sz w:val="13"/>
                <w:szCs w:val="13"/>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Fiscal 2020</w:t>
            </w:r>
          </w:p>
        </w:tc>
        <w:tc>
          <w:tcPr>
            <w:tcW w:w="220" w:type="dxa"/>
            <w:vAlign w:val="bottom"/>
          </w:tcPr>
          <w:p>
            <w:pPr>
              <w:spacing w:after="0"/>
              <w:rPr>
                <w:sz w:val="13"/>
                <w:szCs w:val="13"/>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240" w:type="dxa"/>
            <w:vAlign w:val="bottom"/>
          </w:tcPr>
          <w:p>
            <w:pPr>
              <w:spacing w:after="0"/>
              <w:rPr>
                <w:sz w:val="13"/>
                <w:szCs w:val="13"/>
                <w:color w:val="auto"/>
              </w:rPr>
            </w:pPr>
          </w:p>
        </w:tc>
        <w:tc>
          <w:tcPr>
            <w:tcW w:w="112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0" w:type="dxa"/>
            <w:vAlign w:val="bottom"/>
          </w:tcPr>
          <w:p>
            <w:pPr>
              <w:spacing w:after="0"/>
              <w:rPr>
                <w:sz w:val="1"/>
                <w:szCs w:val="1"/>
                <w:color w:val="auto"/>
              </w:rPr>
            </w:pPr>
          </w:p>
        </w:tc>
      </w:tr>
      <w:tr>
        <w:trPr>
          <w:trHeight w:val="195"/>
        </w:trPr>
        <w:tc>
          <w:tcPr>
            <w:tcW w:w="41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1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9,651</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13,265</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7,974</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7,964</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7,744</w:t>
            </w:r>
          </w:p>
        </w:tc>
        <w:tc>
          <w:tcPr>
            <w:tcW w:w="0" w:type="dxa"/>
            <w:vAlign w:val="bottom"/>
          </w:tcPr>
          <w:p>
            <w:pPr>
              <w:spacing w:after="0"/>
              <w:rPr>
                <w:sz w:val="1"/>
                <w:szCs w:val="1"/>
                <w:color w:val="auto"/>
              </w:rPr>
            </w:pPr>
          </w:p>
        </w:tc>
      </w:tr>
      <w:tr>
        <w:trPr>
          <w:trHeight w:val="27"/>
        </w:trPr>
        <w:tc>
          <w:tcPr>
            <w:tcW w:w="4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we expanded our maximum borrowing under our committed revolving credit facility to $335.0 million, maturing in November 2021. There were no significant changes to terms associated with the expansion. Outstanding borrowings under this facility were $235.2 million, as of September 2, 2017, and $45.0 million, as of March 4, 2017. Under this facility, we are subject</w:t>
      </w:r>
    </w:p>
    <w:p>
      <w:pPr>
        <w:sectPr>
          <w:pgSz w:w="11900" w:h="16838" w:orient="portrait"/>
          <w:cols w:equalWidth="0" w:num="1">
            <w:col w:w="11420"/>
          </w:cols>
          <w:pgMar w:left="240" w:top="121"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two financial covenants that require us to stay below a maximum debt-to-EBITDA ratio and maintain a minimum ratio of interest expense-to-EBITDA. Both ratios are computed quarterly, with EBITDA calculated on a rolling four-quarter basis. At September 2, 2017, we were in compliance with both financial covenants. Additionally, at September 2, 2017, we had a total of $24.9 million of ongoing letters of credit related to industrial revenue bonds and construction contracts that expire in fiscal 2018 and reduce availability of funds under our committed credit facility.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2, 2017, our debt also included $20.4 million of industrial revenue bonds that mature in fiscal years 2021 through 2043 and $0.4 million of long-term debt in Canada. The fair value of the industrial revenue bonds approximated carrying value at September 2, 2017, due to the variable interest rates on these instruments. All debt would be classified as Level 2 within the fair value hierarchy described in Note 7.</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maintain two Canadian revolving demand credit facilities totaling $12.0 million Canadian dollars. As of September 2, 2017, $1.8 million was outstanding under these facilities, and no borrowings were outstanding as of March 4, 2017. Borrowings under these facilities are made available at the sole discretion of the lenders and are payable on demand. The Company classifies any outstanding balances under this demand facility as long-term debt, as outstanding amounts can be refinanced through our committed revolving credit facility.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payments were $1.9 million and $0.3 million for the six months ended September 2, 2017 and August 27, 2016,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Benefit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sponsors two frozen defined-benefit pension plans: an unfunded Officers’ Supplemental Executive Retirement Plan and the Tubelite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Hourly Employees’ Pension Plan. Components of net periodic benefit cost were: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2"/>
                <w:szCs w:val="12"/>
                <w:color w:val="auto"/>
              </w:rPr>
            </w:pPr>
          </w:p>
        </w:tc>
        <w:tc>
          <w:tcPr>
            <w:tcW w:w="1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 2017</w:t>
            </w:r>
          </w:p>
        </w:tc>
        <w:tc>
          <w:tcPr>
            <w:tcW w:w="180" w:type="dxa"/>
            <w:vAlign w:val="bottom"/>
          </w:tcPr>
          <w:p>
            <w:pPr>
              <w:spacing w:after="0"/>
              <w:rPr>
                <w:sz w:val="12"/>
                <w:szCs w:val="12"/>
                <w:color w:val="auto"/>
              </w:rPr>
            </w:pPr>
          </w:p>
        </w:tc>
        <w:tc>
          <w:tcPr>
            <w:tcW w:w="1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August 27, 2016</w:t>
            </w:r>
          </w:p>
        </w:tc>
        <w:tc>
          <w:tcPr>
            <w:tcW w:w="220" w:type="dxa"/>
            <w:vAlign w:val="bottom"/>
          </w:tcPr>
          <w:p>
            <w:pPr>
              <w:spacing w:after="0"/>
              <w:rPr>
                <w:sz w:val="12"/>
                <w:szCs w:val="12"/>
                <w:color w:val="auto"/>
              </w:rPr>
            </w:pPr>
          </w:p>
        </w:tc>
        <w:tc>
          <w:tcPr>
            <w:tcW w:w="1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w:t>
            </w:r>
          </w:p>
        </w:tc>
        <w:tc>
          <w:tcPr>
            <w:tcW w:w="260" w:type="dxa"/>
            <w:vAlign w:val="bottom"/>
          </w:tcPr>
          <w:p>
            <w:pPr>
              <w:spacing w:after="0"/>
              <w:rPr>
                <w:sz w:val="12"/>
                <w:szCs w:val="12"/>
                <w:color w:val="auto"/>
              </w:rPr>
            </w:pPr>
          </w:p>
        </w:tc>
        <w:tc>
          <w:tcPr>
            <w:tcW w:w="1220" w:type="dxa"/>
            <w:vAlign w:val="bottom"/>
          </w:tcPr>
          <w:p>
            <w:pPr>
              <w:jc w:val="right"/>
              <w:ind w:right="336"/>
              <w:spacing w:after="0" w:line="149" w:lineRule="exact"/>
              <w:rPr>
                <w:sz w:val="20"/>
                <w:szCs w:val="20"/>
                <w:color w:val="auto"/>
              </w:rPr>
            </w:pPr>
            <w:r>
              <w:rPr>
                <w:rFonts w:ascii="Times New Roman" w:cs="Times New Roman" w:eastAsia="Times New Roman" w:hAnsi="Times New Roman"/>
                <w:sz w:val="14"/>
                <w:szCs w:val="14"/>
                <w:b w:val="1"/>
                <w:bCs w:val="1"/>
                <w:color w:val="auto"/>
              </w:rPr>
              <w:t>August 27,</w:t>
            </w:r>
          </w:p>
        </w:tc>
        <w:tc>
          <w:tcPr>
            <w:tcW w:w="0" w:type="dxa"/>
            <w:vAlign w:val="bottom"/>
          </w:tcPr>
          <w:p>
            <w:pPr>
              <w:spacing w:after="0"/>
              <w:rPr>
                <w:sz w:val="1"/>
                <w:szCs w:val="1"/>
                <w:color w:val="auto"/>
              </w:rPr>
            </w:pPr>
          </w:p>
        </w:tc>
      </w:tr>
      <w:tr>
        <w:trPr>
          <w:trHeight w:val="195"/>
        </w:trPr>
        <w:tc>
          <w:tcPr>
            <w:tcW w:w="51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unrecognized net loss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U.S. state jurisdictions, Canada, Brazil and other international jurisdictions. The Company is no longer subject to U.S. federal tax examinations for years prior to fiscal 2014, or U.S. state and local income tax examinations for years prior to fiscal 2011. The Company is not currently under U.S. federal examination for years subsequent to fiscal year 2013, and there is very limited audit activity of the Company’s income tax returns in U.S. state jurisdictions or international jurisdictions.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liability for unrecognized tax benefits at September 2, 2017 and March 4, 2017 was approximately $5.0 million and $4.5 million, respectively. Penalties and interest related to unrecognized tax benefits are recorded in income tax expense. The total liability for unrecognized tax benefits is expected to decrease by approximately $0.5 million during the next 12 months due to lapsing of statutes.</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Other Non-Current Liabilities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September 2, 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March 4, 2017</w:t>
            </w:r>
          </w:p>
        </w:tc>
        <w:tc>
          <w:tcPr>
            <w:tcW w:w="0" w:type="dxa"/>
            <w:vAlign w:val="bottom"/>
          </w:tcPr>
          <w:p>
            <w:pPr>
              <w:spacing w:after="0"/>
              <w:rPr>
                <w:sz w:val="1"/>
                <w:szCs w:val="1"/>
                <w:color w:val="auto"/>
              </w:rPr>
            </w:pPr>
          </w:p>
        </w:tc>
      </w:tr>
      <w:tr>
        <w:trPr>
          <w:trHeight w:val="249"/>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benefit from New Market Tax Credit transactions</w:t>
            </w:r>
          </w:p>
        </w:tc>
        <w:tc>
          <w:tcPr>
            <w:tcW w:w="3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16,708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16,708</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Retirement plan obligations</w:t>
            </w:r>
          </w:p>
        </w:tc>
        <w:tc>
          <w:tcPr>
            <w:tcW w:w="3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9,635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9,635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3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9,710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7,463</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23,033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11,981</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3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59,086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45,787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94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p>
      <w:pPr>
        <w:ind w:left="880" w:hanging="872"/>
        <w:spacing w:after="0"/>
        <w:tabs>
          <w:tab w:leader="none" w:pos="8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Contingent Liabilities</w:t>
      </w:r>
    </w:p>
    <w:p>
      <w:pPr>
        <w:spacing w:after="0" w:line="2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Operating lease commitments. </w:t>
      </w:r>
      <w:r>
        <w:rPr>
          <w:rFonts w:ascii="Times New Roman" w:cs="Times New Roman" w:eastAsia="Times New Roman" w:hAnsi="Times New Roman"/>
          <w:sz w:val="18"/>
          <w:szCs w:val="18"/>
          <w:color w:val="auto"/>
        </w:rPr>
        <w:t>As of September 2, 2017, the Company was obligated under non-cancelable operating leases for buildings and equipment.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leases provide for increased rental payments based upon increases in real estate taxes or operating costs. Future minimum rental payments under non-cancelable operating leases are: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18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Fiscal 2019</w:t>
            </w:r>
          </w:p>
        </w:tc>
        <w:tc>
          <w:tcPr>
            <w:tcW w:w="16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Fiscal 2020</w:t>
            </w:r>
          </w:p>
        </w:tc>
        <w:tc>
          <w:tcPr>
            <w:tcW w:w="16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180" w:type="dxa"/>
            <w:vAlign w:val="bottom"/>
          </w:tcPr>
          <w:p>
            <w:pPr>
              <w:spacing w:after="0"/>
              <w:rPr>
                <w:sz w:val="13"/>
                <w:szCs w:val="13"/>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60" w:type="dxa"/>
            <w:vAlign w:val="bottom"/>
          </w:tcPr>
          <w:p>
            <w:pPr>
              <w:spacing w:after="0"/>
              <w:rPr>
                <w:sz w:val="13"/>
                <w:szCs w:val="13"/>
                <w:color w:val="auto"/>
              </w:rPr>
            </w:pPr>
          </w:p>
        </w:tc>
        <w:tc>
          <w:tcPr>
            <w:tcW w:w="88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2018</w:t>
            </w: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7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minimum payments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7,171</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13,371</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11,324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8,322</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7,520</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20,820</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68,528</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Bond commitments. </w:t>
      </w:r>
      <w:r>
        <w:rPr>
          <w:rFonts w:ascii="Times New Roman" w:cs="Times New Roman" w:eastAsia="Times New Roman" w:hAnsi="Times New Roman"/>
          <w:sz w:val="18"/>
          <w:szCs w:val="18"/>
          <w:color w:val="auto"/>
        </w:rPr>
        <w:t>In the ordinary course of business, predominantly in our Architectural Services and Architectural Framing Systems segments, 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provide surety or performance bonds that commit payments to our customers for any non-performance. At September 2, 2017, $63.7 million of our backlog was bonded by performance bonds with a face value of $293.6 million. Performance bonds do not have stated expiration dates, as we are released from the bonds upon completion of the contract. We have never been required to make any payments related to these performance bonds with respect to any of our current portfolio of businesses.</w:t>
      </w:r>
    </w:p>
    <w:p>
      <w:pPr>
        <w:spacing w:after="0" w:line="1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Warranties. </w:t>
      </w:r>
      <w:r>
        <w:rPr>
          <w:rFonts w:ascii="Times New Roman" w:cs="Times New Roman" w:eastAsia="Times New Roman" w:hAnsi="Times New Roman"/>
          <w:sz w:val="18"/>
          <w:szCs w:val="18"/>
          <w:color w:val="auto"/>
        </w:rPr>
        <w:t>We reserve estimated exposures on known claims, as well as on a portion of anticipated claims, for product warranty and rework cost, based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historical product liability claims as a ratio of sales. Claim costs are deducted from the accrual when paid. Factors that could have an impact on the warranty accrual in any given period include the following: changes in manufacturing quality, changes in product mix and any significant changes in sales volume. A warranty rollforward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4"/>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2"/>
                <w:szCs w:val="22"/>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 2017</w:t>
            </w:r>
          </w:p>
        </w:tc>
        <w:tc>
          <w:tcPr>
            <w:tcW w:w="220" w:type="dxa"/>
            <w:vAlign w:val="bottom"/>
          </w:tcPr>
          <w:p>
            <w:pPr>
              <w:spacing w:after="0"/>
              <w:rPr>
                <w:sz w:val="22"/>
                <w:szCs w:val="22"/>
                <w:color w:val="auto"/>
              </w:rPr>
            </w:pPr>
          </w:p>
        </w:tc>
        <w:tc>
          <w:tcPr>
            <w:tcW w:w="13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August 27, 2016</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21,933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16,340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accruals</w:t>
            </w: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2,577</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Claims paid</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Acquired reserves</w:t>
            </w: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5,571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23,292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15,903</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Letters of credit. </w:t>
      </w:r>
      <w:r>
        <w:rPr>
          <w:rFonts w:ascii="Times New Roman" w:cs="Times New Roman" w:eastAsia="Times New Roman" w:hAnsi="Times New Roman"/>
          <w:sz w:val="18"/>
          <w:szCs w:val="18"/>
          <w:color w:val="auto"/>
        </w:rPr>
        <w:t>At September 2, 2017, we had ongoing letters of credit related to construction contracts and certain industrial revenue bonds. The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letters of credit under which we were obligated as of September 2, 2017 was approximately $24.9 million, all of which have been issued under our committed revolving credit facility. Availability under this credit facility is reduced by borrowings under the facility and also by letters of credit issued under the facility.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Purchase obligations. </w:t>
      </w:r>
      <w:r>
        <w:rPr>
          <w:rFonts w:ascii="Times New Roman" w:cs="Times New Roman" w:eastAsia="Times New Roman" w:hAnsi="Times New Roman"/>
          <w:sz w:val="18"/>
          <w:szCs w:val="18"/>
          <w:color w:val="auto"/>
        </w:rPr>
        <w:t>Purchase obligations for raw material commitments and capital expenditures totaled $110.0 million as of September 2, 2017.</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Litigation. </w:t>
      </w:r>
      <w:r>
        <w:rPr>
          <w:rFonts w:ascii="Times New Roman" w:cs="Times New Roman" w:eastAsia="Times New Roman" w:hAnsi="Times New Roman"/>
          <w:sz w:val="18"/>
          <w:szCs w:val="18"/>
          <w:color w:val="auto"/>
        </w:rPr>
        <w:t>We are a party to various legal proceedings incidental to our normal operating activities. In particular, like others in the construction supply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industry, our businesses are routinely involved in various disputes and claims arising out of construction projects, sometimes involving significant monetary damages or product replacement. We are also subject to litigation arising out of general liability, employment practices, workers' compensation and automobile claims. Although it is very difficult to accurately predict the outcome of such proceedings, facts currently available indicate that no such claims will result in losses that would have a material adverse effect on our results of operations, cash flows or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four reporting segments: Architectural Framing Systems, Architectural Glass, Architectural Services and Large-Scale Optical (LSO).</w:t>
      </w:r>
    </w:p>
    <w:p>
      <w:pPr>
        <w:spacing w:after="0" w:line="27" w:lineRule="exact"/>
        <w:rPr>
          <w:sz w:val="20"/>
          <w:szCs w:val="20"/>
          <w:color w:val="auto"/>
        </w:rPr>
      </w:pPr>
    </w:p>
    <w:p>
      <w:pPr>
        <w:jc w:val="both"/>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Architectural Framing Systems segment designs, engineers, fabricates and finishes the aluminum frames used in customized aluminum and glass window, curtainwall, storefront and entrance systems comprising the outside skin and entrances of commercial, institutional and high-end multi-family residential buildings. The Company has aggregated six operating segments into this reporting segment based on their similar products, customers, distribution methods, production processes and economic characteristics.</w:t>
      </w:r>
    </w:p>
    <w:p>
      <w:pPr>
        <w:spacing w:after="0" w:line="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Architectural Glass segment fabricates coated, high-performance glass used in customized window and wall systems comprising the outside skin of commercial, institutional and high-end multi-family residential buildings.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Architectural Services segment designs, engineers, fabricates and installs the walls of glass, windows and other curtainwall products making up the outside skin of commercial and institutional buildings.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LSO segment manufactures value-added glass and acrylic products primarily for framing and display applications.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572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22"/>
                <w:szCs w:val="22"/>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 2017</w:t>
            </w: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27, 2016</w:t>
            </w: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 2017</w:t>
            </w:r>
          </w:p>
        </w:tc>
        <w:tc>
          <w:tcPr>
            <w:tcW w:w="160" w:type="dxa"/>
            <w:vAlign w:val="bottom"/>
          </w:tcPr>
          <w:p>
            <w:pPr>
              <w:spacing w:after="0"/>
              <w:rPr>
                <w:sz w:val="22"/>
                <w:szCs w:val="22"/>
                <w:color w:val="auto"/>
              </w:rPr>
            </w:pP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August 27, 2016</w:t>
            </w:r>
          </w:p>
        </w:tc>
        <w:tc>
          <w:tcPr>
            <w:tcW w:w="0" w:type="dxa"/>
            <w:vAlign w:val="bottom"/>
          </w:tcPr>
          <w:p>
            <w:pPr>
              <w:spacing w:after="0"/>
              <w:rPr>
                <w:sz w:val="1"/>
                <w:szCs w:val="1"/>
                <w:color w:val="auto"/>
              </w:rPr>
            </w:pPr>
          </w:p>
        </w:tc>
      </w:tr>
      <w:tr>
        <w:trPr>
          <w:trHeight w:val="249"/>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 from operations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189,023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92,229</w:t>
            </w:r>
          </w:p>
        </w:tc>
        <w:tc>
          <w:tcPr>
            <w:tcW w:w="120" w:type="dxa"/>
            <w:vAlign w:val="bottom"/>
          </w:tcPr>
          <w:p>
            <w:pPr>
              <w:spacing w:after="0"/>
              <w:rPr>
                <w:sz w:val="21"/>
                <w:szCs w:val="21"/>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299,515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173,362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Architectural Glass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97,351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99,205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195,086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192,565</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Architectural Services</w:t>
            </w: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46,829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77,734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96,979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140,554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Large-Scale Optical</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20,291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21,270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38,894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41,298</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(21,444)</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343,907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278,455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616,214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526,335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 (loss) from operations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16,542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28,506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23,232</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Architectural Glass</w:t>
            </w: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10,258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19,581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19,147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Architectural Services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9,418</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Large-Scale Optical</w:t>
            </w: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9,703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0" w:type="dxa"/>
            <w:vAlign w:val="bottom"/>
          </w:tcPr>
          <w:p>
            <w:pPr>
              <w:spacing w:after="0"/>
              <w:rPr>
                <w:sz w:val="1"/>
                <w:szCs w:val="1"/>
                <w:color w:val="auto"/>
              </w:rPr>
            </w:pPr>
          </w:p>
        </w:tc>
      </w:tr>
      <w:tr>
        <w:trPr>
          <w:trHeight w:val="237"/>
        </w:trPr>
        <w:tc>
          <w:tcPr>
            <w:tcW w:w="57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27,774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33,048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51,880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59,297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varying combinations and integration of individual window, storefront and curtainwall systems, it is impractical to report product revenues generated by class of product, beyond the segment revenues currently reported.</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discussion contains “forward-looking statements” within the meaning of the Private Securities Litigation Reform Act of 1995. These statements reflect our current views with respect to future events and financial performance. The words “believe,” “expect,” “anticipate,” “intend,” “estimate,” “forecast,” “project,” “should” and similar expressions are intended to identify “forward-looking statements” within the meaning of the Private Securities Litigation Reform Act of 1995. All forecasts and projections in this document are “forward-looking statements,” and are based on management’s current expectations or beliefs of the Company’s near-term results, based on current information available pertaining to the Company, including the risk factors noted under Item 1A of the Company’s Annual Report on Form 10-K for the fiscal year ended March 4, 2017. From time to time, we may also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1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Accordingly, we wish to caution investors that any forward-looking statements made by or on behalf of the Company are subject to uncertainties and other factors that could cause actual results to differ materially from such statements. These uncertainties and other risk factors include, but are not limited to, the risks and uncertainties set forth under Item 1A of the Company’s Annual Report on Form 10-K for the fiscal year ended March 4, 2017.</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world leader in certain technologies involving the design and development of value-added glass products and services. Our four reporting segments are: Architectural Framing Systems, Architectural Glass, Architectural Services and Large-Scale Optical (LSO).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selected financial data should be read in conjunction with the Company’s Form 10-K for the year ended March 4, 2017 and the consolidated financial statements, including the notes to consolidated financial statements, included therein.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of Second Quarter and First Six Months of Fiscal 2018 Compared to Second Quarter and First Six Months of Fiscal 2017</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Consolidated net sales increased 23.5 percent, or $65.5 million, for the second quarter ended September 2, 2017, and 17.1 percent, or $89.9 million, for the six-month period ended September 2, 2017, compared to the same periods in the prior year. Sales growth was due to the addition of EFCO in June 2017 and Sotawall in December 2016 within the Architectural Framing Systems segment. Foreign currency did not have a meaningful impact on sales results in the current-year period or the prior-year period.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relationship between various components of operations, as a percentage of net sales, is illustrated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2960" w:type="dxa"/>
            <w:vAlign w:val="bottom"/>
            <w:tcBorders>
              <w:bottom w:val="single" w:sz="8" w:color="auto"/>
            </w:tcBorders>
            <w:gridSpan w:val="3"/>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5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(Percent of net sales)</w:t>
            </w:r>
          </w:p>
        </w:tc>
        <w:tc>
          <w:tcPr>
            <w:tcW w:w="15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2, 2017</w:t>
            </w:r>
          </w:p>
        </w:tc>
        <w:tc>
          <w:tcPr>
            <w:tcW w:w="15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August 27, 2016</w:t>
            </w:r>
          </w:p>
        </w:tc>
        <w:tc>
          <w:tcPr>
            <w:tcW w:w="14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w:t>
            </w:r>
          </w:p>
        </w:tc>
        <w:tc>
          <w:tcPr>
            <w:tcW w:w="1320" w:type="dxa"/>
            <w:vAlign w:val="bottom"/>
          </w:tcPr>
          <w:p>
            <w:pPr>
              <w:jc w:val="right"/>
              <w:ind w:right="253"/>
              <w:spacing w:after="0" w:line="149" w:lineRule="exact"/>
              <w:rPr>
                <w:sz w:val="20"/>
                <w:szCs w:val="20"/>
                <w:color w:val="auto"/>
              </w:rPr>
            </w:pPr>
            <w:r>
              <w:rPr>
                <w:rFonts w:ascii="Times New Roman" w:cs="Times New Roman" w:eastAsia="Times New Roman" w:hAnsi="Times New Roman"/>
                <w:sz w:val="14"/>
                <w:szCs w:val="14"/>
                <w:b w:val="1"/>
                <w:bCs w:val="1"/>
                <w:color w:val="auto"/>
              </w:rPr>
              <w:t>August 27,</w:t>
            </w:r>
          </w:p>
        </w:tc>
        <w:tc>
          <w:tcPr>
            <w:tcW w:w="0" w:type="dxa"/>
            <w:vAlign w:val="bottom"/>
          </w:tcPr>
          <w:p>
            <w:pPr>
              <w:spacing w:after="0"/>
              <w:rPr>
                <w:sz w:val="1"/>
                <w:szCs w:val="1"/>
                <w:color w:val="auto"/>
              </w:rPr>
            </w:pPr>
          </w:p>
        </w:tc>
      </w:tr>
      <w:tr>
        <w:trPr>
          <w:trHeight w:val="195"/>
        </w:trPr>
        <w:tc>
          <w:tcPr>
            <w:tcW w:w="5580" w:type="dxa"/>
            <w:vAlign w:val="bottom"/>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3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13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5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4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Pr>
          <w:p>
            <w:pPr>
              <w:spacing w:after="0"/>
              <w:rPr>
                <w:sz w:val="21"/>
                <w:szCs w:val="21"/>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21"/>
                <w:szCs w:val="21"/>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income</w:t>
            </w: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other (expense) income, net</w:t>
            </w:r>
          </w:p>
        </w:tc>
        <w:tc>
          <w:tcPr>
            <w:tcW w:w="14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4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earnings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80" w:type="dxa"/>
            <w:vAlign w:val="bottom"/>
            <w:vMerge w:val="continue"/>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31" w:lineRule="exact"/>
        <w:rPr>
          <w:sz w:val="20"/>
          <w:szCs w:val="20"/>
          <w:color w:val="auto"/>
        </w:rPr>
      </w:pPr>
    </w:p>
    <w:p>
      <w:pPr>
        <w:jc w:val="both"/>
        <w:ind w:left="60"/>
        <w:spacing w:after="0" w:line="254" w:lineRule="auto"/>
        <w:rPr>
          <w:sz w:val="20"/>
          <w:szCs w:val="20"/>
          <w:color w:val="auto"/>
        </w:rPr>
      </w:pPr>
      <w:r>
        <w:rPr>
          <w:rFonts w:ascii="Times New Roman" w:cs="Times New Roman" w:eastAsia="Times New Roman" w:hAnsi="Times New Roman"/>
          <w:sz w:val="18"/>
          <w:szCs w:val="18"/>
          <w:color w:val="auto"/>
        </w:rPr>
        <w:t>Gross profit as a percent of sales was 25.0 percent and 25.4 percent for the three- and six-month periods, respectively, ended September 2, 2017, compared to 26.0 percent for each of the three- and six-month periods ended August 27, 2016. Gross profit as a percent of sales declined from the prior-year periods primarily due to the inclusion of the lower gross margin EFCO business in the three-month period ended September 2, 2017, and reduced volume leverage in the Architectural Services segment in both the three- and six-month periods ended September 2, 2017.</w:t>
      </w:r>
    </w:p>
    <w:p>
      <w:pPr>
        <w:spacing w:after="0" w:line="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expenses</w:t>
      </w:r>
    </w:p>
    <w:p>
      <w:pPr>
        <w:spacing w:after="0" w:line="121" w:lineRule="exact"/>
        <w:rPr>
          <w:sz w:val="20"/>
          <w:szCs w:val="20"/>
          <w:color w:val="auto"/>
        </w:rPr>
      </w:pPr>
    </w:p>
    <w:p>
      <w:pPr>
        <w:jc w:val="both"/>
        <w:ind w:left="60"/>
        <w:spacing w:after="0" w:line="258" w:lineRule="auto"/>
        <w:rPr>
          <w:sz w:val="20"/>
          <w:szCs w:val="20"/>
          <w:color w:val="auto"/>
        </w:rPr>
      </w:pPr>
      <w:r>
        <w:rPr>
          <w:rFonts w:ascii="Times New Roman" w:cs="Times New Roman" w:eastAsia="Times New Roman" w:hAnsi="Times New Roman"/>
          <w:sz w:val="18"/>
          <w:szCs w:val="18"/>
          <w:color w:val="auto"/>
        </w:rPr>
        <w:t>SG&amp;A expenses as a percent of sales was 16.9 percent in each of the three- and six-month periods ended September 2, 2017, compared to 14.2 percent of sales and 14.8 percent of sales in the three- and six-month periods, respectively, last year. The increases in the current year periods were primarily due to the amortization of the intangible assets acquired in the Sotawall and EFCO transactions, making up approximately 130 basis points of the increase in each period, and the acquisition-related costs for those transactions, increasing SG&amp;A as a percent of sales by 110 basis points in the three-month period and 70 basis points in the six-month period, compared to the prior-year periods.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in the second quarter of fiscal 2018 was 33.9 percent, compared to 32.9 percent in the same period last year, and 33.4 percent for the first six months of fiscal 2018, compared to 33.1 percent in the prior-year period, due mainly to a higher consolidated state tax rate driven by the inclusion of EFCO, as well as some state tax law changes that result in higher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Framing Systems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 2017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August 27, 2016</w:t>
            </w:r>
          </w:p>
        </w:tc>
        <w:tc>
          <w:tcPr>
            <w:tcW w:w="100" w:type="dxa"/>
            <w:vAlign w:val="bottom"/>
            <w:vMerge w:val="restart"/>
          </w:tcPr>
          <w:p>
            <w:pPr>
              <w:spacing w:after="0"/>
              <w:rPr>
                <w:sz w:val="12"/>
                <w:szCs w:val="12"/>
                <w:color w:val="auto"/>
              </w:rPr>
            </w:pPr>
          </w:p>
        </w:tc>
        <w:tc>
          <w:tcPr>
            <w:tcW w:w="960" w:type="dxa"/>
            <w:vAlign w:val="bottom"/>
          </w:tcPr>
          <w:p>
            <w:pPr>
              <w:jc w:val="right"/>
              <w:ind w:right="31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30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September 2, 2017</w:t>
            </w:r>
          </w:p>
        </w:tc>
        <w:tc>
          <w:tcPr>
            <w:tcW w:w="100" w:type="dxa"/>
            <w:vAlign w:val="bottom"/>
          </w:tcPr>
          <w:p>
            <w:pPr>
              <w:spacing w:after="0"/>
              <w:rPr>
                <w:sz w:val="12"/>
                <w:szCs w:val="12"/>
                <w:color w:val="auto"/>
              </w:rPr>
            </w:pPr>
          </w:p>
        </w:tc>
        <w:tc>
          <w:tcPr>
            <w:tcW w:w="13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August 27, 2016</w:t>
            </w:r>
          </w:p>
        </w:tc>
        <w:tc>
          <w:tcPr>
            <w:tcW w:w="120" w:type="dxa"/>
            <w:vAlign w:val="bottom"/>
            <w:vMerge w:val="restart"/>
          </w:tcPr>
          <w:p>
            <w:pPr>
              <w:spacing w:after="0"/>
              <w:rPr>
                <w:sz w:val="12"/>
                <w:szCs w:val="12"/>
                <w:color w:val="auto"/>
              </w:rPr>
            </w:pPr>
          </w:p>
        </w:tc>
        <w:tc>
          <w:tcPr>
            <w:tcW w:w="1060" w:type="dxa"/>
            <w:vAlign w:val="bottom"/>
          </w:tcPr>
          <w:p>
            <w:pPr>
              <w:jc w:val="right"/>
              <w:ind w:right="37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6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189,023</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92,229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299,515</w:t>
            </w:r>
          </w:p>
        </w:tc>
        <w:tc>
          <w:tcPr>
            <w:tcW w:w="14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173,362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16,542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13,001</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28,506</w:t>
            </w:r>
          </w:p>
        </w:tc>
        <w:tc>
          <w:tcPr>
            <w:tcW w:w="14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23,232</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3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0"/>
        <w:spacing w:after="0" w:line="266" w:lineRule="auto"/>
        <w:rPr>
          <w:sz w:val="20"/>
          <w:szCs w:val="20"/>
          <w:color w:val="auto"/>
        </w:rPr>
      </w:pPr>
      <w:r>
        <w:rPr>
          <w:rFonts w:ascii="Times New Roman" w:cs="Times New Roman" w:eastAsia="Times New Roman" w:hAnsi="Times New Roman"/>
          <w:sz w:val="18"/>
          <w:szCs w:val="18"/>
          <w:color w:val="auto"/>
        </w:rPr>
        <w:t>Architectural Framing Systems net sales increased $96.8 million, or 104.9 percent, and $126.2 million, or 72.8 percent, for the three- and six-month periods, respectively, ended September 2, 2017, over the same periods in the prior year. The addition of the net sales of EFCO and Sotawall provided over 80 percent of the growth in both periods. The remaining growth resulted from double-digit volume growth in the existing businesses within the segment.</w:t>
      </w:r>
    </w:p>
    <w:p>
      <w:pPr>
        <w:spacing w:after="0" w:line="68" w:lineRule="exact"/>
        <w:rPr>
          <w:sz w:val="20"/>
          <w:szCs w:val="20"/>
          <w:color w:val="auto"/>
        </w:rPr>
      </w:pPr>
    </w:p>
    <w:p>
      <w:pPr>
        <w:jc w:val="both"/>
        <w:ind w:left="60"/>
        <w:spacing w:after="0" w:line="258" w:lineRule="auto"/>
        <w:rPr>
          <w:sz w:val="20"/>
          <w:szCs w:val="20"/>
          <w:color w:val="auto"/>
        </w:rPr>
      </w:pPr>
      <w:r>
        <w:rPr>
          <w:rFonts w:ascii="Times New Roman" w:cs="Times New Roman" w:eastAsia="Times New Roman" w:hAnsi="Times New Roman"/>
          <w:sz w:val="18"/>
          <w:szCs w:val="18"/>
          <w:color w:val="auto"/>
        </w:rPr>
        <w:t>Operating margin declined 530 basis points and 390 basis points for the three- and six-month periods, respectively, of the current year, compared to the same periods in the prior year. The decline in the three-month period resulted from 280 basis points of amortization of short-lived acquired intangible assets and 250 basis points from foreign exchange transaction losses in our Canadian curtainwall business. For the six-month period, the decline was due to 270 basis points from amortization of short-lived acquired intangible assets and 120 basis points as a result of the foreign exchange losses. Outside of these two factors, both periods experienced improved operating margins at existing segment businesses, offset by the inclusion of EFCO at lower operating margins.</w:t>
      </w:r>
    </w:p>
    <w:p>
      <w:pPr>
        <w:spacing w:after="0" w:line="76" w:lineRule="exact"/>
        <w:rPr>
          <w:sz w:val="20"/>
          <w:szCs w:val="20"/>
          <w:color w:val="auto"/>
        </w:rPr>
      </w:pPr>
    </w:p>
    <w:p>
      <w:pPr>
        <w:jc w:val="both"/>
        <w:ind w:left="60"/>
        <w:spacing w:after="0" w:line="282" w:lineRule="auto"/>
        <w:rPr>
          <w:sz w:val="20"/>
          <w:szCs w:val="20"/>
          <w:color w:val="auto"/>
        </w:rPr>
      </w:pPr>
      <w:r>
        <w:rPr>
          <w:rFonts w:ascii="Times New Roman" w:cs="Times New Roman" w:eastAsia="Times New Roman" w:hAnsi="Times New Roman"/>
          <w:sz w:val="18"/>
          <w:szCs w:val="18"/>
          <w:color w:val="auto"/>
        </w:rPr>
        <w:t>Backlog in this segment, as of September 2, 2017, was approximately $496 million, compared to approximately $245 million at fiscal year-end, with EFCO contributing approximately 86 percent of the increase.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Glass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 2017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August 27, 2016</w:t>
            </w:r>
          </w:p>
        </w:tc>
        <w:tc>
          <w:tcPr>
            <w:tcW w:w="120" w:type="dxa"/>
            <w:vAlign w:val="bottom"/>
            <w:vMerge w:val="restart"/>
          </w:tcPr>
          <w:p>
            <w:pPr>
              <w:spacing w:after="0"/>
              <w:rPr>
                <w:sz w:val="12"/>
                <w:szCs w:val="12"/>
                <w:color w:val="auto"/>
              </w:rPr>
            </w:pPr>
          </w:p>
        </w:tc>
        <w:tc>
          <w:tcPr>
            <w:tcW w:w="1000" w:type="dxa"/>
            <w:vAlign w:val="bottom"/>
          </w:tcPr>
          <w:p>
            <w:pPr>
              <w:jc w:val="right"/>
              <w:ind w:right="35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September 2, 2017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August 27, 2016</w:t>
            </w:r>
          </w:p>
        </w:tc>
        <w:tc>
          <w:tcPr>
            <w:tcW w:w="120" w:type="dxa"/>
            <w:vAlign w:val="bottom"/>
            <w:vMerge w:val="restart"/>
          </w:tcPr>
          <w:p>
            <w:pPr>
              <w:spacing w:after="0"/>
              <w:rPr>
                <w:sz w:val="12"/>
                <w:szCs w:val="12"/>
                <w:color w:val="auto"/>
              </w:rPr>
            </w:pPr>
          </w:p>
        </w:tc>
        <w:tc>
          <w:tcPr>
            <w:tcW w:w="1060" w:type="dxa"/>
            <w:vAlign w:val="bottom"/>
          </w:tcPr>
          <w:p>
            <w:pPr>
              <w:jc w:val="right"/>
              <w:ind w:right="37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5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97,351</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99,205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195,086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192,565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10,258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9,616</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19,581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19,147</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0"/>
        <w:spacing w:after="0" w:line="258" w:lineRule="auto"/>
        <w:rPr>
          <w:sz w:val="20"/>
          <w:szCs w:val="20"/>
          <w:color w:val="auto"/>
        </w:rPr>
      </w:pPr>
      <w:r>
        <w:rPr>
          <w:rFonts w:ascii="Times New Roman" w:cs="Times New Roman" w:eastAsia="Times New Roman" w:hAnsi="Times New Roman"/>
          <w:sz w:val="18"/>
          <w:szCs w:val="18"/>
          <w:color w:val="auto"/>
        </w:rPr>
        <w:t>Net sales declined $1.9 million, or 1.9 percent, for the quarter-ended September 2, 2017, over the same period in the prior year, due to delays in the timing of certain larger projects and lower international sales. These decreases were somewhat offset by continued mid-sized project growth in the United States. Sales for the six-month period ended September 2, 2017 increased $2.5 million, or 1.3 percent, over the prior-year period due to our success in gaining share of demand with mid-size projects in the United States. Foreign currency impact on sales was nominal in the current-year period compared to the prior-year period.</w:t>
      </w:r>
    </w:p>
    <w:p>
      <w:pPr>
        <w:spacing w:after="0" w:line="76" w:lineRule="exact"/>
        <w:rPr>
          <w:sz w:val="20"/>
          <w:szCs w:val="20"/>
          <w:color w:val="auto"/>
        </w:rPr>
      </w:pPr>
    </w:p>
    <w:p>
      <w:pPr>
        <w:jc w:val="both"/>
        <w:ind w:left="60"/>
        <w:spacing w:after="0" w:line="266" w:lineRule="auto"/>
        <w:rPr>
          <w:sz w:val="20"/>
          <w:szCs w:val="20"/>
          <w:color w:val="auto"/>
        </w:rPr>
      </w:pPr>
      <w:r>
        <w:rPr>
          <w:rFonts w:ascii="Times New Roman" w:cs="Times New Roman" w:eastAsia="Times New Roman" w:hAnsi="Times New Roman"/>
          <w:sz w:val="18"/>
          <w:szCs w:val="18"/>
          <w:color w:val="auto"/>
        </w:rPr>
        <w:t>Operating margin improved 80 basis points and 10 basis points for the three- and six-month periods, respectively, of the current year, compared to the same periods in the prior year. The improvement was driven by productivity and cost management, somewhat offset in the six-month period by planned costs in our first quarter related to the startup of the oversize glass production line.</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Given the short lead times in this segment, we do not consider backlog to be a significant metric.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Services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2"/>
                <w:szCs w:val="12"/>
                <w:color w:val="auto"/>
              </w:rPr>
            </w:pPr>
          </w:p>
        </w:tc>
        <w:tc>
          <w:tcPr>
            <w:tcW w:w="1080" w:type="dxa"/>
            <w:vAlign w:val="bottom"/>
          </w:tcPr>
          <w:p>
            <w:pPr>
              <w:jc w:val="right"/>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September 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August 27,</w:t>
            </w:r>
          </w:p>
        </w:tc>
        <w:tc>
          <w:tcPr>
            <w:tcW w:w="1020" w:type="dxa"/>
            <w:vAlign w:val="bottom"/>
          </w:tcPr>
          <w:p>
            <w:pPr>
              <w:jc w:val="right"/>
              <w:ind w:right="35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September 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August 27,</w:t>
            </w:r>
          </w:p>
        </w:tc>
        <w:tc>
          <w:tcPr>
            <w:tcW w:w="1020" w:type="dxa"/>
            <w:vAlign w:val="bottom"/>
          </w:tcPr>
          <w:p>
            <w:pPr>
              <w:jc w:val="right"/>
              <w:ind w:right="35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6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46,829</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77,734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96,979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140,554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21"/>
                <w:szCs w:val="21"/>
                <w:color w:val="auto"/>
              </w:rPr>
            </w:pP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774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6,236</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9,418</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0"/>
        <w:spacing w:after="0" w:line="282" w:lineRule="auto"/>
        <w:rPr>
          <w:sz w:val="20"/>
          <w:szCs w:val="20"/>
          <w:color w:val="auto"/>
        </w:rPr>
      </w:pPr>
      <w:r>
        <w:rPr>
          <w:rFonts w:ascii="Times New Roman" w:cs="Times New Roman" w:eastAsia="Times New Roman" w:hAnsi="Times New Roman"/>
          <w:sz w:val="18"/>
          <w:szCs w:val="18"/>
          <w:color w:val="auto"/>
        </w:rPr>
        <w:t>Architectural Services net sales decreased $30.9 million, or 39.8 percent, and $43.6 million, or 31.0 percent, for the three- and six-month periods, respectively, ended September 2, 2017, over the same periods in the prior year, primarily due to year-on-year timing of project activity.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ind w:left="60"/>
        <w:spacing w:after="0" w:line="282" w:lineRule="auto"/>
        <w:rPr>
          <w:sz w:val="20"/>
          <w:szCs w:val="20"/>
          <w:color w:val="auto"/>
        </w:rPr>
      </w:pPr>
      <w:r>
        <w:rPr>
          <w:rFonts w:ascii="Times New Roman" w:cs="Times New Roman" w:eastAsia="Times New Roman" w:hAnsi="Times New Roman"/>
          <w:sz w:val="18"/>
          <w:szCs w:val="18"/>
          <w:color w:val="auto"/>
        </w:rPr>
        <w:t>Operating margin declined 630 basis points and 510 basis points for the three- and six-month periods, respectively, of the current year, over the same periods in the prior year, due to lower volume leverage on fixed project management, engineering and manufacturing costs.</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September 2, 2017, backlog in this segment grew to approximately $323 million, compared to approximately $255 million at year-end.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Large-Scale Optical (LSO)</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34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2, 2017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August 27, 2016</w:t>
            </w:r>
          </w:p>
        </w:tc>
        <w:tc>
          <w:tcPr>
            <w:tcW w:w="100" w:type="dxa"/>
            <w:vAlign w:val="bottom"/>
            <w:vMerge w:val="restart"/>
          </w:tcPr>
          <w:p>
            <w:pPr>
              <w:spacing w:after="0"/>
              <w:rPr>
                <w:sz w:val="12"/>
                <w:szCs w:val="12"/>
                <w:color w:val="auto"/>
              </w:rPr>
            </w:pPr>
          </w:p>
        </w:tc>
        <w:tc>
          <w:tcPr>
            <w:tcW w:w="1120" w:type="dxa"/>
            <w:vAlign w:val="bottom"/>
          </w:tcPr>
          <w:p>
            <w:pPr>
              <w:jc w:val="right"/>
              <w:ind w:right="39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September 2, 2017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August 27, 2016</w:t>
            </w:r>
          </w:p>
        </w:tc>
        <w:tc>
          <w:tcPr>
            <w:tcW w:w="120" w:type="dxa"/>
            <w:vAlign w:val="bottom"/>
            <w:vMerge w:val="restart"/>
          </w:tcPr>
          <w:p>
            <w:pPr>
              <w:spacing w:after="0"/>
              <w:rPr>
                <w:sz w:val="12"/>
                <w:szCs w:val="12"/>
                <w:color w:val="auto"/>
              </w:rPr>
            </w:pPr>
          </w:p>
        </w:tc>
        <w:tc>
          <w:tcPr>
            <w:tcW w:w="1100" w:type="dxa"/>
            <w:vAlign w:val="bottom"/>
          </w:tcPr>
          <w:p>
            <w:pPr>
              <w:jc w:val="right"/>
              <w:ind w:right="39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34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20,291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21,270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38,894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41,298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5,051</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8,298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9,703</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0"/>
        <w:spacing w:after="0" w:line="282" w:lineRule="auto"/>
        <w:rPr>
          <w:sz w:val="20"/>
          <w:szCs w:val="20"/>
          <w:color w:val="auto"/>
        </w:rPr>
      </w:pPr>
      <w:r>
        <w:rPr>
          <w:rFonts w:ascii="Times New Roman" w:cs="Times New Roman" w:eastAsia="Times New Roman" w:hAnsi="Times New Roman"/>
          <w:sz w:val="18"/>
          <w:szCs w:val="18"/>
          <w:color w:val="auto"/>
        </w:rPr>
        <w:t>LSO net sales declined $1.0 million, or 4.6 percent, and $2.4 million, or 5.8 percent, for the three- and six-month periods ended September 2, 2017, respectively, over the comparative prior-year periods, due to timing of customer orders and softer custom picture framing end-markets.</w:t>
      </w:r>
    </w:p>
    <w:p>
      <w:pPr>
        <w:spacing w:after="0" w:line="54" w:lineRule="exact"/>
        <w:rPr>
          <w:sz w:val="20"/>
          <w:szCs w:val="20"/>
          <w:color w:val="auto"/>
        </w:rPr>
      </w:pPr>
    </w:p>
    <w:p>
      <w:pPr>
        <w:jc w:val="both"/>
        <w:ind w:left="60"/>
        <w:spacing w:after="0" w:line="266" w:lineRule="auto"/>
        <w:rPr>
          <w:sz w:val="20"/>
          <w:szCs w:val="20"/>
          <w:color w:val="auto"/>
        </w:rPr>
      </w:pPr>
      <w:r>
        <w:rPr>
          <w:rFonts w:ascii="Times New Roman" w:cs="Times New Roman" w:eastAsia="Times New Roman" w:hAnsi="Times New Roman"/>
          <w:sz w:val="18"/>
          <w:szCs w:val="18"/>
          <w:color w:val="auto"/>
        </w:rPr>
        <w:t>Operating margin declined 280 basis points and 220 basis points for the three- and six-month periods of the current year, respectively, over the same periods in the prior year, due to lower volume leverage on fixed operating costs. Given the short lead times in this segment, we do not consider backlog to be a significant metric.</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00"/>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Selected cash flow data</w:t>
            </w:r>
          </w:p>
        </w:tc>
        <w:tc>
          <w:tcPr>
            <w:tcW w:w="1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99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4"/>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2"/>
                <w:szCs w:val="22"/>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 2017</w:t>
            </w:r>
          </w:p>
        </w:tc>
        <w:tc>
          <w:tcPr>
            <w:tcW w:w="220" w:type="dxa"/>
            <w:vAlign w:val="bottom"/>
          </w:tcPr>
          <w:p>
            <w:pPr>
              <w:spacing w:after="0"/>
              <w:rPr>
                <w:sz w:val="22"/>
                <w:szCs w:val="22"/>
                <w:color w:val="auto"/>
              </w:rPr>
            </w:pPr>
          </w:p>
        </w:tc>
        <w:tc>
          <w:tcPr>
            <w:tcW w:w="13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August 27, 2016</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40,809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43,542</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(31,474)</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restricted cash</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7,834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(16,949)</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issuance of debt</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284,200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Payments on debt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8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Dividends paid</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w:t>
            </w:r>
          </w:p>
        </w:tc>
      </w:tr>
      <w:tr>
        <w:trPr>
          <w:trHeight w:val="27"/>
        </w:trPr>
        <w:tc>
          <w:tcPr>
            <w:tcW w:w="8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Cash provided by operating activities was $40.8 million for the first six months of fiscal 2018, decreasing $3.8 million over the prior-year period primarily due to the proceeds received in the prior year from the new market tax credit transaction.</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used in investing activities was $203.8 million the first six months of fiscal 2018, primarily due to the cash paid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of EFCO, while in the first six months of the prior year, net cash used by investing activities of $49.3 million was driven by capital expenditures. Additionally, in fiscal 2018, we released the remaining $7.8 million of cash that was restricted for investment in our oversized glass fabrication project within our Architectural Glass segment. We estimate fiscal 2018 capital expenditures to be approximately $60 million, as we continue to invest in productivity and capabilities.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review our portfolio of businesses and their assets in comparison to our internal strategic and performance objectives. As part of this review, we may acquire other businesses, pursue geographic expansion, take actions to manage capacity and/or further invest in, fully divest and/or sell parts of our current businesses.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In June 2017, we expanded our committed revolving credit facility, which expires in November 2021, to $335.0 million. At September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 2017, we had outstanding borrowings under this facility of $235.2 million. As defined within our amended committed revolving credit facility, we are required to comply with two financial covenants. These financial covenants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require us to stay below a maximum leverage ratio and to maintain a minimum interest coverage ratio. At September 2, 2017, we were in compliance with both financial covenants.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paid dividends totaling $8.0 million ($0.28 per share) in the first six months of fiscal 2018. In the second quarter of fiscal 2018, we repurchased 200,000 shares under our authorized share repurchase program for a total cost of $10.8 million. We did not repurchase any shares under this program during the second quarter of fiscal 2017. We have repurchased a total of 3,507,633 shares, at a total cost of $83.1 million, since the inception of this program during fiscal 2004. We have remaining authority to repurchase 742,367 shares under this program, which has no expiration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Financing Activities. </w:t>
      </w:r>
      <w:r>
        <w:rPr>
          <w:rFonts w:ascii="Times New Roman" w:cs="Times New Roman" w:eastAsia="Times New Roman" w:hAnsi="Times New Roman"/>
          <w:sz w:val="18"/>
          <w:szCs w:val="18"/>
          <w:color w:val="auto"/>
        </w:rPr>
        <w:t>The following summarizes our significant contractual obligations that impact our liquidity as of September 2, 2017:</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8"/>
          </w:tcPr>
          <w:p>
            <w:pPr>
              <w:ind w:left="660"/>
              <w:spacing w:after="0"/>
              <w:rPr>
                <w:sz w:val="20"/>
                <w:szCs w:val="20"/>
                <w:color w:val="auto"/>
              </w:rPr>
            </w:pPr>
            <w:r>
              <w:rPr>
                <w:rFonts w:ascii="Times New Roman" w:cs="Times New Roman" w:eastAsia="Times New Roman" w:hAnsi="Times New Roman"/>
                <w:sz w:val="14"/>
                <w:szCs w:val="14"/>
                <w:b w:val="1"/>
                <w:bCs w:val="1"/>
                <w:color w:val="auto"/>
              </w:rPr>
              <w:t>Payments Due by Fiscal Period</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Remainder of</w:t>
            </w:r>
          </w:p>
        </w:tc>
        <w:tc>
          <w:tcPr>
            <w:tcW w:w="180" w:type="dxa"/>
            <w:vAlign w:val="bottom"/>
          </w:tcPr>
          <w:p>
            <w:pPr>
              <w:spacing w:after="0"/>
              <w:rPr>
                <w:sz w:val="12"/>
                <w:szCs w:val="12"/>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Fiscal 2019</w:t>
            </w:r>
          </w:p>
        </w:tc>
        <w:tc>
          <w:tcPr>
            <w:tcW w:w="16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Fiscal 2020</w:t>
            </w:r>
          </w:p>
        </w:tc>
        <w:tc>
          <w:tcPr>
            <w:tcW w:w="16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180" w:type="dxa"/>
            <w:vAlign w:val="bottom"/>
          </w:tcPr>
          <w:p>
            <w:pPr>
              <w:spacing w:after="0"/>
              <w:rPr>
                <w:sz w:val="12"/>
                <w:szCs w:val="12"/>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8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60" w:type="dxa"/>
            <w:vAlign w:val="bottom"/>
          </w:tcPr>
          <w:p>
            <w:pPr>
              <w:spacing w:after="0"/>
              <w:rPr>
                <w:sz w:val="12"/>
                <w:szCs w:val="12"/>
                <w:color w:val="auto"/>
              </w:rPr>
            </w:pPr>
          </w:p>
        </w:tc>
        <w:tc>
          <w:tcPr>
            <w:tcW w:w="88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2018</w:t>
            </w: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5,501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237,301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257,900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leases (undiscounted)</w:t>
            </w:r>
          </w:p>
        </w:tc>
        <w:tc>
          <w:tcPr>
            <w:tcW w:w="16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7,171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13,371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11,324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8,322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7,520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20,820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68,528</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obligations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87,760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17,581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110,036</w:t>
            </w:r>
          </w:p>
        </w:tc>
        <w:tc>
          <w:tcPr>
            <w:tcW w:w="0" w:type="dxa"/>
            <w:vAlign w:val="bottom"/>
          </w:tcPr>
          <w:p>
            <w:pPr>
              <w:spacing w:after="0"/>
              <w:rPr>
                <w:sz w:val="1"/>
                <w:szCs w:val="1"/>
                <w:color w:val="auto"/>
              </w:rPr>
            </w:pPr>
          </w:p>
        </w:tc>
      </w:tr>
      <w:tr>
        <w:trPr>
          <w:trHeight w:val="237"/>
        </w:trPr>
        <w:tc>
          <w:tcPr>
            <w:tcW w:w="2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cash obligations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94,981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32,849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13,660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15,053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246,051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33,870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436,464</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long-term debt obligations due in fiscal 2022 relate primarily to borrowings under our committed revolving credit facility. From time to time, we acquire the use of certain assets through operating leases, such as warehouses, vehicles, forklifts, office equipment, hardware, software and some manufacturing equipment. Many of these operating leases have termination penalties. However, because the assets are used in the conduct of our business operations, it is unlikely that any significant portion of these operating leases would be terminated prior to the normal expiration of their lease terms. Therefore, we consider the risk related to termination penalties to be minimal.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obligations in the table above relate to raw material commitments and capital expenditures.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make contributions of $1.0 million to our defined-benefit pension plans in fiscal 2018, which will equal or exceed our minimum funding requirements.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2, 2017, we had reserves of $5.0 million and $1.4 million for unrecognized tax benefits and environmental liabilities, respectively. We expect approximately $0.5 million of the unrecognized tax benefits to lapse during the next 12 months. We are unable to reasonably estimate in which future periods the remaining unrecognized tax benefits and environmental liabilities will ultimately be settled.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2, 2017, we had a total of $24.9 million of ongoing letters of credit related to industrial revenue bonds and construction contracts that expire in fiscal 2018 and reduce availability of funds under our committed credit facility.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above standby letters of credit, we are required, in the ordinary course of business, to provide surety or performance bonds that commit payments to our customers for any non-performance by us. At September 2, 2017, $63.7 million of our backlog was bonded by performance bonds with a face value of $293.6 million. Performance bonds do not have stated expiration dates, as we are released from the bonds upon completion of the contract. We have never been required to make any payments related to these performance bonds with respect to any of our current portfolio of businesses.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our ability to generate strong cash from operations and borrowing capability under our committed revolving credit facility, we believe that our sources of liquidity will continue to be adequate to fund our working capital requirements, planned capital expenditures and dividend payments for at least the next 12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analyze non-GAAP measures for adjusted net earnings, adjusted diluted earnings per common share and adjusted operating income. These measures are used by management to evaluate the Company's financial performance on a more consistent basis and improve comparability of results from period to period, because they exclude certain amounts that are not considered part of core operating results. Items that are excluded to arrive at adjusted measures below include the impact of acquisition-related costs and amortization of the short-lived acquired intangibles associated with backlog. These non-GAAP measures should be viewed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to, and not as an alternative to, the reported financial results of the company prepared in accordance with GAAP. The non-GAAP measures presented below may differ from similar measures used by other companies.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net earnings to adjusted net earnings and earnings per diluted common share to adjusted earnings per diluted common share.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5"/>
        </w:trPr>
        <w:tc>
          <w:tcPr>
            <w:tcW w:w="4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i w:val="1"/>
                <w:iCs w:val="1"/>
                <w:color w:val="auto"/>
              </w:rPr>
              <w:t>(In thousands, except per share data)</w:t>
            </w:r>
          </w:p>
        </w:tc>
        <w:tc>
          <w:tcPr>
            <w:tcW w:w="1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 2017</w:t>
            </w:r>
          </w:p>
        </w:tc>
        <w:tc>
          <w:tcPr>
            <w:tcW w:w="10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August 27, 2016</w:t>
            </w:r>
          </w:p>
        </w:tc>
        <w:tc>
          <w:tcPr>
            <w:tcW w:w="12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 2017</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August 27, 2016</w:t>
            </w: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17,409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22,397</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33,512</w:t>
            </w:r>
          </w:p>
        </w:tc>
        <w:tc>
          <w:tcPr>
            <w:tcW w:w="48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40,119</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4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Amortization of short-lived acquired intangibles</w:t>
            </w:r>
          </w:p>
        </w:tc>
        <w:tc>
          <w:tcPr>
            <w:tcW w:w="3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N/M</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Acquisition-related costs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N/M</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N/M</w:t>
            </w:r>
          </w:p>
        </w:tc>
      </w:tr>
      <w:tr>
        <w:trPr>
          <w:trHeight w:val="270"/>
        </w:trPr>
        <w:tc>
          <w:tcPr>
            <w:tcW w:w="4420" w:type="dxa"/>
            <w:vAlign w:val="bottom"/>
            <w:tcBorders>
              <w:bottom w:val="single" w:sz="8" w:color="CCEEFF"/>
            </w:tcBorders>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Income tax impact on above adjustments </w:t>
            </w:r>
            <w:r>
              <w:rPr>
                <w:rFonts w:ascii="Times New Roman" w:cs="Times New Roman" w:eastAsia="Times New Roman" w:hAnsi="Times New Roman"/>
                <w:sz w:val="25"/>
                <w:szCs w:val="25"/>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c>
          <w:tcPr>
            <w:tcW w:w="1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jc w:val="right"/>
              <w:ind w:right="153"/>
              <w:spacing w:after="0"/>
              <w:rPr>
                <w:sz w:val="20"/>
                <w:szCs w:val="20"/>
                <w:color w:val="auto"/>
              </w:rPr>
            </w:pPr>
            <w:r>
              <w:rPr>
                <w:rFonts w:ascii="Times New Roman" w:cs="Times New Roman" w:eastAsia="Times New Roman" w:hAnsi="Times New Roman"/>
                <w:sz w:val="18"/>
                <w:szCs w:val="18"/>
                <w:color w:val="auto"/>
              </w:rPr>
              <w:t>N/M</w:t>
            </w:r>
          </w:p>
        </w:tc>
      </w:tr>
      <w:tr>
        <w:trPr>
          <w:trHeight w:val="257"/>
        </w:trPr>
        <w:tc>
          <w:tcPr>
            <w:tcW w:w="4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net earnings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21,618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22,397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39,573</w:t>
            </w:r>
          </w:p>
        </w:tc>
        <w:tc>
          <w:tcPr>
            <w:tcW w:w="48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40,119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311"/>
        </w:trPr>
        <w:tc>
          <w:tcPr>
            <w:tcW w:w="4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diluted common share</w:t>
            </w: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0.77</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8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4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Amortization of short-lived acquired intangibles</w:t>
            </w:r>
          </w:p>
        </w:tc>
        <w:tc>
          <w:tcPr>
            <w:tcW w:w="3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N/M</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Acquisition-related costs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N/M</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N/M</w:t>
            </w:r>
          </w:p>
        </w:tc>
      </w:tr>
      <w:tr>
        <w:trPr>
          <w:trHeight w:val="270"/>
        </w:trPr>
        <w:tc>
          <w:tcPr>
            <w:tcW w:w="4420" w:type="dxa"/>
            <w:vAlign w:val="bottom"/>
            <w:tcBorders>
              <w:bottom w:val="single" w:sz="8" w:color="CCEEFF"/>
            </w:tcBorders>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Income tax impact on above adjustments </w:t>
            </w:r>
            <w:r>
              <w:rPr>
                <w:rFonts w:ascii="Times New Roman" w:cs="Times New Roman" w:eastAsia="Times New Roman" w:hAnsi="Times New Roman"/>
                <w:sz w:val="25"/>
                <w:szCs w:val="25"/>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c>
          <w:tcPr>
            <w:tcW w:w="1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jc w:val="right"/>
              <w:ind w:right="153"/>
              <w:spacing w:after="0"/>
              <w:rPr>
                <w:sz w:val="20"/>
                <w:szCs w:val="20"/>
                <w:color w:val="auto"/>
              </w:rPr>
            </w:pPr>
            <w:r>
              <w:rPr>
                <w:rFonts w:ascii="Times New Roman" w:cs="Times New Roman" w:eastAsia="Times New Roman" w:hAnsi="Times New Roman"/>
                <w:sz w:val="18"/>
                <w:szCs w:val="18"/>
                <w:color w:val="auto"/>
              </w:rPr>
              <w:t>N/M</w:t>
            </w:r>
          </w:p>
        </w:tc>
      </w:tr>
      <w:tr>
        <w:trPr>
          <w:trHeight w:val="257"/>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earnings per diluted common share</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0.77</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4" w:lineRule="exact"/>
        <w:rPr>
          <w:sz w:val="20"/>
          <w:szCs w:val="20"/>
          <w:color w:val="auto"/>
        </w:rPr>
      </w:pPr>
    </w:p>
    <w:p>
      <w:pPr>
        <w:ind w:left="180" w:hanging="145"/>
        <w:spacing w:after="0"/>
        <w:tabs>
          <w:tab w:leader="none" w:pos="18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Income tax impact on adjustments was calculated using the quarterly effective income tax rate of 33.9% and the six-month period effective income tax rate of 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-95885</wp:posOffset>
            </wp:positionV>
            <wp:extent cx="37992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9920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operating income (loss) to adjusted operating income (loss).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Framing Systems Segment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00" w:type="dxa"/>
            <w:vAlign w:val="bottom"/>
            <w:vMerge w:val="restart"/>
          </w:tcPr>
          <w:p>
            <w:pPr>
              <w:spacing w:after="0"/>
              <w:rPr>
                <w:sz w:val="12"/>
                <w:szCs w:val="12"/>
                <w:color w:val="auto"/>
              </w:rPr>
            </w:pPr>
          </w:p>
        </w:tc>
        <w:tc>
          <w:tcPr>
            <w:tcW w:w="13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Operating margin</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Operating income</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20" w:type="dxa"/>
            <w:vAlign w:val="bottom"/>
            <w:vMerge w:val="restart"/>
          </w:tcPr>
          <w:p>
            <w:pPr>
              <w:spacing w:after="0"/>
              <w:rPr>
                <w:sz w:val="12"/>
                <w:szCs w:val="12"/>
                <w:color w:val="auto"/>
              </w:rPr>
            </w:pPr>
          </w:p>
        </w:tc>
        <w:tc>
          <w:tcPr>
            <w:tcW w:w="132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Operating margin</w:t>
            </w:r>
          </w:p>
        </w:tc>
        <w:tc>
          <w:tcPr>
            <w:tcW w:w="0" w:type="dxa"/>
            <w:vAlign w:val="bottom"/>
          </w:tcPr>
          <w:p>
            <w:pPr>
              <w:spacing w:after="0"/>
              <w:rPr>
                <w:sz w:val="1"/>
                <w:szCs w:val="1"/>
                <w:color w:val="auto"/>
              </w:rPr>
            </w:pPr>
          </w:p>
        </w:tc>
      </w:tr>
      <w:tr>
        <w:trPr>
          <w:trHeight w:val="195"/>
        </w:trPr>
        <w:tc>
          <w:tcPr>
            <w:tcW w:w="4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2, 2017</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16,542</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20" w:type="dxa"/>
            <w:vAlign w:val="bottom"/>
          </w:tcPr>
          <w:p>
            <w:pPr>
              <w:spacing w:after="0"/>
              <w:rPr>
                <w:sz w:val="21"/>
                <w:szCs w:val="21"/>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27,774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short-lived acquired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2,630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Acquisition-related costs</w:t>
            </w:r>
          </w:p>
        </w:tc>
        <w:tc>
          <w:tcPr>
            <w:tcW w:w="3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3,737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3,737</w:t>
            </w:r>
          </w:p>
        </w:tc>
        <w:tc>
          <w:tcPr>
            <w:tcW w:w="12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19,172</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34,141</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August 27, 2016</w:t>
            </w: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6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gridSpan w:val="2"/>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Operating income (loss) </w:t>
            </w:r>
            <w:r>
              <w:rPr>
                <w:rFonts w:ascii="Times New Roman" w:cs="Times New Roman" w:eastAsia="Times New Roman" w:hAnsi="Times New Roman"/>
                <w:sz w:val="25"/>
                <w:szCs w:val="25"/>
                <w:color w:val="auto"/>
                <w:vertAlign w:val="superscript"/>
              </w:rPr>
              <w:t>(1)</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13,001</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33,048</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September 2, 2017</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28,506</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120" w:type="dxa"/>
            <w:vAlign w:val="bottom"/>
          </w:tcPr>
          <w:p>
            <w:pPr>
              <w:spacing w:after="0"/>
              <w:rPr>
                <w:sz w:val="21"/>
                <w:szCs w:val="21"/>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51,880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short-lived acquired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4,684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4,684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Acquisition-related costs</w:t>
            </w:r>
          </w:p>
        </w:tc>
        <w:tc>
          <w:tcPr>
            <w:tcW w:w="3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4,417</w:t>
            </w:r>
          </w:p>
        </w:tc>
        <w:tc>
          <w:tcPr>
            <w:tcW w:w="12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33,190</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60,981</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August 27, 2016</w:t>
            </w: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6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gridSpan w:val="2"/>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Operating income (loss) </w:t>
            </w:r>
            <w:r>
              <w:rPr>
                <w:rFonts w:ascii="Times New Roman" w:cs="Times New Roman" w:eastAsia="Times New Roman" w:hAnsi="Times New Roman"/>
                <w:sz w:val="25"/>
                <w:szCs w:val="25"/>
                <w:color w:val="auto"/>
                <w:vertAlign w:val="superscript"/>
              </w:rPr>
              <w:t>(1)</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23,232</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59,297</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40" w:right="120" w:hanging="5"/>
        <w:spacing w:after="0" w:line="262" w:lineRule="auto"/>
        <w:tabs>
          <w:tab w:leader="none" w:pos="24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related to amortization of short-lived acquired intangibles and acquisition-related costs are not applicable to the three- and six-month periods ended August 27, 2016, and therefore no adjustments have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-216535</wp:posOffset>
            </wp:positionV>
            <wp:extent cx="4416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statements are based on our current expectations for full-year fiscal 2018 results, inclusive of the recent EFCO acquisition. These statements are forward-looking, and actual results may differ materially. We are currently expecting:</w:t>
      </w:r>
    </w:p>
    <w:p>
      <w:pPr>
        <w:spacing w:after="0" w:line="72" w:lineRule="exact"/>
        <w:rPr>
          <w:sz w:val="20"/>
          <w:szCs w:val="20"/>
          <w:color w:val="auto"/>
        </w:rPr>
      </w:pPr>
    </w:p>
    <w:p>
      <w:pPr>
        <w:ind w:left="640" w:hanging="321"/>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of approximately 24 to 26 percent over fiscal 2017.</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of 10.0 percent to 10.5 percent.</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of $3.05 to $3.25.</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640" w:hanging="321"/>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margin of 11.0 to 11.5 percent and adjusted diluted earnings per share of $3.40 to $3.60</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p>
    <w:p>
      <w:pPr>
        <w:spacing w:after="0" w:line="45"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of approximately $60 million.</w:t>
      </w:r>
    </w:p>
    <w:p>
      <w:pPr>
        <w:spacing w:after="0" w:line="108" w:lineRule="exact"/>
        <w:rPr>
          <w:rFonts w:ascii="Times New Roman" w:cs="Times New Roman" w:eastAsia="Times New Roman" w:hAnsi="Times New Roman"/>
          <w:sz w:val="18"/>
          <w:szCs w:val="18"/>
          <w:color w:val="auto"/>
        </w:rPr>
      </w:pPr>
    </w:p>
    <w:p>
      <w:pPr>
        <w:jc w:val="both"/>
        <w:ind w:left="640"/>
        <w:spacing w:after="0" w:line="288" w:lineRule="auto"/>
        <w:rPr>
          <w:rFonts w:ascii="Times New Roman" w:cs="Times New Roman" w:eastAsia="Times New Roman" w:hAnsi="Times New Roman"/>
          <w:sz w:val="18"/>
          <w:szCs w:val="18"/>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4"/>
          <w:szCs w:val="14"/>
          <w:color w:val="auto"/>
        </w:rPr>
        <w:t xml:space="preserve"> Adjusted operating margin and adjusted diluted earnings per share exclude the impact of amortization of short-lived acquired intangible assets associated with the acquired backlog of Sotawall and EFCO of $7 million (after tax, $0.24 per diluted share) and acquisition-related costs for EFCO of approximately $3.1 million (after tax, $0.11 per diluted share). These two adjustments have a combined approximate 100 basis point negative impact on operating margin. These non-GAAP measures are used by management to evaluate the Company's historical and prospective financial performance, measure operational profitability on a more consistent basis, and provide enhanced transparency to the investment community. These non-GAAP measures should be viewed in addition to, and not as an alternative to, the financial results of the company prepared in accordance with GAAP.</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 material changes have occurred in the disclosure with respect to our related party transactions set forth in our Annual Report on Form 10-K for the fiscal year ended March 4,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3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 material changes have occurred in the disclosure of our critical accounting policies set forth in our Annual Report on Form 10-K for the fiscal year ended March 4, 2017.</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material changes have occurred to the disclosures of quantitative and qualitative market risk set forth in our Annual Report on Form 10-K for the fiscal year ended March 4, 2017.</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jc w:val="both"/>
        <w:ind w:left="1300" w:hanging="644"/>
        <w:spacing w:after="0" w:line="254"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Securities Exchange Act of 1934, as amended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w:t>
      </w:r>
    </w:p>
    <w:p>
      <w:pPr>
        <w:jc w:val="both"/>
        <w:ind w:left="1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7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controls: There was no change in the Company’s internal control over financial reporting that occurred during the fiscal quarter ended September 2, 2017, that has materially affected, or is reasonably likely to materially affect, the Company’s internal control over financial reporting.</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been a party to various legal proceedings incidental to its normal operating activities. In particular, like others in the construction supply and services industry, the Company’s construction supply and services businesses are routinely involved in various disputes and claims arising out of construction projects, sometimes involving significant monetary damages or product replacement. The Company is also subject to litigation arising out of employment practices, workers compensation, general liability and automobile claims. Although it is very difficult to accurately predict the outcome of such proceedings, facts currently available indicate that no such claims will result in losses that would have a material adverse effect on the results of operations, cash flows or financial condition of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or additions to our risk factors discussed in our Annual Report on Form 10-K for the fiscal year ended March 4,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made by the Company of its own stock during the second quarter of fiscal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Yet Be</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9"/>
        </w:trPr>
        <w:tc>
          <w:tcPr>
            <w:tcW w:w="53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vMerge w:val="restart"/>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95"/>
        </w:trPr>
        <w:tc>
          <w:tcPr>
            <w:tcW w:w="5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(b)</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(b)</w:t>
            </w:r>
          </w:p>
        </w:tc>
        <w:tc>
          <w:tcPr>
            <w:tcW w:w="0" w:type="dxa"/>
            <w:vAlign w:val="bottom"/>
          </w:tcPr>
          <w:p>
            <w:pPr>
              <w:spacing w:after="0"/>
              <w:rPr>
                <w:sz w:val="1"/>
                <w:szCs w:val="1"/>
                <w:color w:val="auto"/>
              </w:rPr>
            </w:pPr>
          </w:p>
        </w:tc>
      </w:tr>
      <w:tr>
        <w:trPr>
          <w:trHeight w:val="249"/>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4, 2017 to July 1, 2017</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93,207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54.66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89,579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852,788</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July 2, 2017 to July 29, 2017</w:t>
            </w: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110,616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54.52</w:t>
            </w:r>
          </w:p>
        </w:tc>
        <w:tc>
          <w:tcPr>
            <w:tcW w:w="100" w:type="dxa"/>
            <w:vAlign w:val="bottom"/>
          </w:tcPr>
          <w:p>
            <w:pPr>
              <w:spacing w:after="0"/>
              <w:rPr>
                <w:sz w:val="21"/>
                <w:szCs w:val="21"/>
                <w:color w:val="auto"/>
              </w:rPr>
            </w:pPr>
          </w:p>
        </w:tc>
        <w:tc>
          <w:tcPr>
            <w:tcW w:w="14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110,421</w:t>
            </w:r>
          </w:p>
        </w:tc>
        <w:tc>
          <w:tcPr>
            <w:tcW w:w="100" w:type="dxa"/>
            <w:vAlign w:val="bottom"/>
          </w:tcPr>
          <w:p>
            <w:pPr>
              <w:spacing w:after="0"/>
              <w:rPr>
                <w:sz w:val="21"/>
                <w:szCs w:val="21"/>
                <w:color w:val="auto"/>
              </w:rPr>
            </w:pPr>
          </w:p>
        </w:tc>
        <w:tc>
          <w:tcPr>
            <w:tcW w:w="14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742,367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30, 2017 to September 2, 2017</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1,327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51.04</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742,367</w:t>
            </w:r>
          </w:p>
        </w:tc>
        <w:tc>
          <w:tcPr>
            <w:tcW w:w="0" w:type="dxa"/>
            <w:vAlign w:val="bottom"/>
          </w:tcPr>
          <w:p>
            <w:pPr>
              <w:spacing w:after="0"/>
              <w:rPr>
                <w:sz w:val="1"/>
                <w:szCs w:val="1"/>
                <w:color w:val="auto"/>
              </w:rPr>
            </w:pPr>
          </w:p>
        </w:tc>
      </w:tr>
      <w:tr>
        <w:trPr>
          <w:trHeight w:val="237"/>
        </w:trPr>
        <w:tc>
          <w:tcPr>
            <w:tcW w:w="5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205,150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54.10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742,367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60" w:right="160" w:hanging="652"/>
        <w:spacing w:after="0" w:line="253" w:lineRule="auto"/>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in this column represent the total number of shares that were repurchased by us pursuant to our publicly announced repurchase program, plus the shares surrendered to us by plan participants to satisfy stock-for-stock option exercises or withholding tax obligations related to share-based compensation.</w:t>
      </w:r>
    </w:p>
    <w:p>
      <w:pPr>
        <w:ind w:left="660" w:right="240" w:hanging="652"/>
        <w:spacing w:after="0" w:line="250" w:lineRule="auto"/>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2004, the Board of Directors authorized the repurchase of 1,500,000 shares of Company stock, which was announced on April 10, 2003. Subsequently, the Board of Directors increased the authorization by 750,000 shares, which was announced on January 24, 2008; by 1,000,000 shares, which was announced on October 8, 2008; and by 1,000,000 shares, which was announced on January 13, 2016. The repurchase program does not have an expiration date.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70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38"/>
        </w:trPr>
        <w:tc>
          <w:tcPr>
            <w:tcW w:w="360" w:type="dxa"/>
            <w:vAlign w:val="bottom"/>
            <w:gridSpan w:val="2"/>
          </w:tcPr>
          <w:p>
            <w:pPr>
              <w:jc w:val="right"/>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hyperlink>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3"/>
          </w:tcPr>
          <w:p>
            <w:pPr>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Certification of Chief Executive Officer pursuant to Rule 13a-14(a) under the Securities Exchange Act of 1934.</w:t>
              </w:r>
            </w:hyperlink>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80" w:type="dxa"/>
            <w:vAlign w:val="bottom"/>
            <w:shd w:val="clear" w:color="auto" w:fill="0000FF"/>
          </w:tcPr>
          <w:p>
            <w:pPr>
              <w:spacing w:after="0" w:line="20" w:lineRule="exact"/>
              <w:rPr>
                <w:sz w:val="1"/>
                <w:szCs w:val="1"/>
                <w:color w:val="auto"/>
              </w:rPr>
            </w:pPr>
          </w:p>
        </w:tc>
        <w:tc>
          <w:tcPr>
            <w:tcW w:w="1880" w:type="dxa"/>
            <w:vAlign w:val="bottom"/>
            <w:tcBorders>
              <w:left w:val="single" w:sz="8" w:color="0000FF"/>
            </w:tcBorders>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Times New Roman" w:cs="Times New Roman" w:eastAsia="Times New Roman" w:hAnsi="Times New Roman"/>
                <w:sz w:val="18"/>
                <w:szCs w:val="18"/>
                <w:color w:val="0000FF"/>
              </w:rPr>
            </w:pPr>
            <w:hyperlink w:anchor="page28">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hyperlink>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3"/>
          </w:tcPr>
          <w:p>
            <w:pPr>
              <w:spacing w:after="0"/>
              <w:rPr>
                <w:rFonts w:ascii="Times New Roman" w:cs="Times New Roman" w:eastAsia="Times New Roman" w:hAnsi="Times New Roman"/>
                <w:sz w:val="18"/>
                <w:szCs w:val="18"/>
                <w:color w:val="0000FF"/>
              </w:rPr>
            </w:pPr>
            <w:hyperlink w:anchor="page28">
              <w:r>
                <w:rPr>
                  <w:rFonts w:ascii="Times New Roman" w:cs="Times New Roman" w:eastAsia="Times New Roman" w:hAnsi="Times New Roman"/>
                  <w:sz w:val="18"/>
                  <w:szCs w:val="18"/>
                  <w:color w:val="0000FF"/>
                </w:rPr>
                <w:t>Certification of Chief Financial Officer pursuant to Rule 13a-14(a) under the Securities Exchange Act of 1934.</w:t>
              </w:r>
            </w:hyperlink>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8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hyperlink>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3"/>
          </w:tcPr>
          <w:p>
            <w:pPr>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60" w:type="dxa"/>
            <w:vAlign w:val="bottom"/>
            <w:tcBorders>
              <w:top w:val="single" w:sz="8" w:color="0000FF"/>
            </w:tcBorders>
            <w:gridSpan w:val="3"/>
          </w:tcPr>
          <w:p>
            <w:pPr>
              <w:spacing w:after="0" w:line="196" w:lineRule="exact"/>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Act of 2002.</w:t>
              </w:r>
            </w:hyperlink>
          </w:p>
        </w:tc>
      </w:tr>
      <w:tr>
        <w:trPr>
          <w:trHeight w:val="20"/>
        </w:trPr>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960" w:type="dxa"/>
            <w:vAlign w:val="bottom"/>
            <w:gridSpan w:val="2"/>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Times New Roman" w:cs="Times New Roman" w:eastAsia="Times New Roman" w:hAnsi="Times New Roman"/>
                <w:sz w:val="18"/>
                <w:szCs w:val="18"/>
                <w:color w:val="0000FF"/>
              </w:rPr>
            </w:pPr>
            <w:hyperlink w:anchor="page30">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hyperlink>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3"/>
          </w:tcPr>
          <w:p>
            <w:pPr>
              <w:spacing w:after="0"/>
              <w:rPr>
                <w:rFonts w:ascii="Times New Roman" w:cs="Times New Roman" w:eastAsia="Times New Roman" w:hAnsi="Times New Roman"/>
                <w:sz w:val="18"/>
                <w:szCs w:val="18"/>
                <w:color w:val="0000FF"/>
              </w:rPr>
            </w:pPr>
            <w:hyperlink w:anchor="page30">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60" w:type="dxa"/>
            <w:vAlign w:val="bottom"/>
            <w:tcBorders>
              <w:top w:val="single" w:sz="8" w:color="0000FF"/>
            </w:tcBorders>
            <w:gridSpan w:val="3"/>
          </w:tcPr>
          <w:p>
            <w:pPr>
              <w:spacing w:after="0" w:line="196" w:lineRule="exact"/>
              <w:rPr>
                <w:rFonts w:ascii="Times New Roman" w:cs="Times New Roman" w:eastAsia="Times New Roman" w:hAnsi="Times New Roman"/>
                <w:sz w:val="18"/>
                <w:szCs w:val="18"/>
                <w:color w:val="0000FF"/>
              </w:rPr>
            </w:pPr>
            <w:hyperlink w:anchor="page30">
              <w:r>
                <w:rPr>
                  <w:rFonts w:ascii="Times New Roman" w:cs="Times New Roman" w:eastAsia="Times New Roman" w:hAnsi="Times New Roman"/>
                  <w:sz w:val="18"/>
                  <w:szCs w:val="18"/>
                  <w:color w:val="0000FF"/>
                </w:rPr>
                <w:t>Act of 2002.</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1520" w:right="20" w:hanging="1485"/>
        <w:spacing w:after="0" w:line="254" w:lineRule="auto"/>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Apogee Enterprises, Inc.’s Quarterly Report on Form 10-Q for the quarter ended September 2, 2017 are furnished herewith, formatted in XBRL (Extensible Business Reporting Language): (i) the Consolidated Balance Sheets as of September 2, 2017 and March 4, 2017, (ii) the Consolidated Results of Operations for the three and six months ended September 2, 2017 and August 27, 2016, (iii) the Consolidated Statements of Comprehensive Earnings for the three and six months ended September 2, 2017 and August 27, 2016, (iv) the Consolidated Statements of Cash Flows for the six months ended September 2, 2017 and August 27, 2016,</w:t>
      </w:r>
    </w:p>
    <w:p>
      <w:pPr>
        <w:spacing w:after="0" w:line="3" w:lineRule="exact"/>
        <w:rPr>
          <w:rFonts w:ascii="Times New Roman" w:cs="Times New Roman" w:eastAsia="Times New Roman" w:hAnsi="Times New Roman"/>
          <w:sz w:val="18"/>
          <w:szCs w:val="18"/>
          <w:color w:val="auto"/>
        </w:rPr>
      </w:pPr>
    </w:p>
    <w:p>
      <w:pPr>
        <w:ind w:left="1520" w:right="20" w:firstLine="1"/>
        <w:spacing w:after="0" w:line="261" w:lineRule="auto"/>
        <w:tabs>
          <w:tab w:leader="none" w:pos="179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Statements of Shareholders' Equity for the six months ended September 2, 2017 and August 27, 2016, and (vi) Notes to Consolidated Financial Statements.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APOGEE ENTERPRISES, INC.</w:t>
      </w:r>
    </w:p>
    <w:p>
      <w:pPr>
        <w:spacing w:after="0" w:line="387" w:lineRule="exact"/>
        <w:rPr>
          <w:sz w:val="20"/>
          <w:szCs w:val="20"/>
          <w:color w:val="auto"/>
        </w:rPr>
      </w:pPr>
    </w:p>
    <w:p>
      <w:pPr>
        <w:ind w:left="40"/>
        <w:spacing w:after="0"/>
        <w:tabs>
          <w:tab w:leader="none" w:pos="6140" w:val="left"/>
        </w:tabs>
        <w:rPr>
          <w:sz w:val="20"/>
          <w:szCs w:val="20"/>
          <w:color w:val="auto"/>
        </w:rPr>
      </w:pPr>
      <w:r>
        <w:rPr>
          <w:rFonts w:ascii="Times New Roman" w:cs="Times New Roman" w:eastAsia="Times New Roman" w:hAnsi="Times New Roman"/>
          <w:sz w:val="18"/>
          <w:szCs w:val="18"/>
          <w:color w:val="auto"/>
        </w:rPr>
        <w:t>Date: October 12, 2017</w:t>
      </w:r>
      <w:r>
        <w:rPr>
          <w:sz w:val="20"/>
          <w:szCs w:val="20"/>
          <w:color w:val="auto"/>
        </w:rPr>
        <w:tab/>
      </w:r>
      <w:r>
        <w:rPr>
          <w:rFonts w:ascii="Times New Roman" w:cs="Times New Roman" w:eastAsia="Times New Roman" w:hAnsi="Times New Roman"/>
          <w:sz w:val="17"/>
          <w:szCs w:val="17"/>
          <w:color w:val="auto"/>
        </w:rPr>
        <w:t>By: /s/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34290</wp:posOffset>
            </wp:positionV>
            <wp:extent cx="32931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Joseph F. Puishys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President and Chief</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9" w:lineRule="exact"/>
        <w:rPr>
          <w:sz w:val="20"/>
          <w:szCs w:val="20"/>
          <w:color w:val="auto"/>
        </w:rPr>
      </w:pPr>
    </w:p>
    <w:p>
      <w:pPr>
        <w:ind w:left="40"/>
        <w:spacing w:after="0"/>
        <w:tabs>
          <w:tab w:leader="none" w:pos="6140" w:val="left"/>
        </w:tabs>
        <w:rPr>
          <w:sz w:val="20"/>
          <w:szCs w:val="20"/>
          <w:color w:val="auto"/>
        </w:rPr>
      </w:pPr>
      <w:r>
        <w:rPr>
          <w:rFonts w:ascii="Times New Roman" w:cs="Times New Roman" w:eastAsia="Times New Roman" w:hAnsi="Times New Roman"/>
          <w:sz w:val="18"/>
          <w:szCs w:val="18"/>
          <w:color w:val="auto"/>
        </w:rPr>
        <w:t>Date: October 12, 2017</w:t>
      </w:r>
      <w:r>
        <w:rPr>
          <w:sz w:val="20"/>
          <w:szCs w:val="20"/>
          <w:color w:val="auto"/>
        </w:rPr>
        <w:tab/>
      </w:r>
      <w:r>
        <w:rPr>
          <w:rFonts w:ascii="Times New Roman" w:cs="Times New Roman" w:eastAsia="Times New Roman" w:hAnsi="Times New Roman"/>
          <w:sz w:val="18"/>
          <w:szCs w:val="18"/>
          <w:color w:val="auto"/>
        </w:rPr>
        <w:t>By: /s/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34290</wp:posOffset>
            </wp:positionV>
            <wp:extent cx="32931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James S. Porter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240" w:top="121" w:right="4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Table of Contents</w:t>
              </w:r>
            </w:hyperlink>
          </w:p>
        </w:tc>
        <w:tc>
          <w:tcPr>
            <w:tcW w:w="998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998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rPr>
              <w:t>Exhibit Index to Form 10-Q for the Period Ended September 2, 2017</w:t>
            </w:r>
          </w:p>
        </w:tc>
      </w:tr>
      <w:tr>
        <w:trPr>
          <w:trHeight w:val="378"/>
        </w:trPr>
        <w:tc>
          <w:tcPr>
            <w:tcW w:w="12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9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 under the Securities Exchange Act of 1934.</w:t>
            </w:r>
          </w:p>
        </w:tc>
      </w:tr>
      <w:tr>
        <w:trPr>
          <w:trHeight w:val="392"/>
        </w:trPr>
        <w:tc>
          <w:tcPr>
            <w:tcW w:w="12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9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under the Securities Exchange Act of 1934.</w:t>
            </w:r>
          </w:p>
        </w:tc>
      </w:tr>
      <w:tr>
        <w:trPr>
          <w:trHeight w:val="373"/>
        </w:trPr>
        <w:tc>
          <w:tcPr>
            <w:tcW w:w="12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9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 of 2002.</w:t>
            </w:r>
          </w:p>
        </w:tc>
      </w:tr>
      <w:tr>
        <w:trPr>
          <w:trHeight w:val="373"/>
        </w:trPr>
        <w:tc>
          <w:tcPr>
            <w:tcW w:w="12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9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 of 2002.</w:t>
            </w:r>
          </w:p>
        </w:tc>
      </w:tr>
    </w:tbl>
    <w:p>
      <w:pPr>
        <w:spacing w:after="0" w:line="157" w:lineRule="exact"/>
        <w:rPr>
          <w:sz w:val="20"/>
          <w:szCs w:val="20"/>
          <w:color w:val="auto"/>
        </w:rPr>
      </w:pPr>
    </w:p>
    <w:p>
      <w:pPr>
        <w:jc w:val="both"/>
        <w:ind w:left="1520" w:hanging="1485"/>
        <w:spacing w:after="0" w:line="254" w:lineRule="auto"/>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Apogee Enterprises, Inc.’s Quarterly Report on Form 10-Q for the quarter ended September 2, 2017 are furnished herewith, formatted in XBRL (Extensible Business Reporting Language): (i) the Consolidated Balance Sheets as of September 2, 2017 and March 4, 2017, (ii) the Consolidated Results of Operations for the three and six months ended September 2, 2017 and August 27, 2016, (iii) the Consolidated Statements of Comprehensive Earnings for the three and six months ended September 2, 2017 and August 27, 2016, (iv) the Consolidated Statements of Cash Flows for the six months ended September 2, 2017 and August 27, 2016,</w:t>
      </w:r>
    </w:p>
    <w:p>
      <w:pPr>
        <w:spacing w:after="0" w:line="3" w:lineRule="exact"/>
        <w:rPr>
          <w:rFonts w:ascii="Times New Roman" w:cs="Times New Roman" w:eastAsia="Times New Roman" w:hAnsi="Times New Roman"/>
          <w:sz w:val="18"/>
          <w:szCs w:val="18"/>
          <w:color w:val="auto"/>
        </w:rPr>
      </w:pPr>
    </w:p>
    <w:p>
      <w:pPr>
        <w:ind w:left="1520" w:firstLine="1"/>
        <w:spacing w:after="0" w:line="261" w:lineRule="auto"/>
        <w:tabs>
          <w:tab w:leader="none" w:pos="17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Statements of Shareholders' Equity for the six months ended September 2, 2017 and August 27, 2016, and (vi) Notes to Consolidated Financial Statements.</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108" w:right="25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F. Puishys, certify that:</w:t>
      </w:r>
    </w:p>
    <w:p>
      <w:pPr>
        <w:spacing w:after="0" w:line="117"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Apogee Enterprises, Inc.;</w:t>
      </w:r>
    </w:p>
    <w:p>
      <w:pPr>
        <w:spacing w:after="0" w:line="11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1300" w:right="400" w:hanging="644"/>
        <w:spacing w:after="0" w:line="313" w:lineRule="auto"/>
        <w:tabs>
          <w:tab w:leader="none" w:pos="13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 w:lineRule="exact"/>
        <w:rPr>
          <w:rFonts w:ascii="Times New Roman" w:cs="Times New Roman" w:eastAsia="Times New Roman" w:hAnsi="Times New Roman"/>
          <w:sz w:val="17"/>
          <w:szCs w:val="17"/>
          <w:color w:val="auto"/>
        </w:rPr>
      </w:pPr>
    </w:p>
    <w:p>
      <w:pPr>
        <w:ind w:left="1300" w:right="20" w:hanging="644"/>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2280" w:right="80" w:hanging="651"/>
        <w:spacing w:after="0" w:line="266" w:lineRule="auto"/>
        <w:tabs>
          <w:tab w:leader="none" w:pos="22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2280" w:right="100" w:hanging="651"/>
        <w:spacing w:after="0" w:line="266" w:lineRule="auto"/>
        <w:tabs>
          <w:tab w:leader="none" w:pos="22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2280" w:right="180" w:hanging="651"/>
        <w:spacing w:after="0" w:line="266" w:lineRule="auto"/>
        <w:tabs>
          <w:tab w:leader="none" w:pos="22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ind w:left="2280" w:right="240" w:hanging="651"/>
        <w:spacing w:after="0" w:line="266" w:lineRule="auto"/>
        <w:tabs>
          <w:tab w:leader="none" w:pos="22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300" w:right="320" w:hanging="644"/>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ind w:left="2280" w:right="460" w:hanging="651"/>
        <w:spacing w:after="0" w:line="266" w:lineRule="auto"/>
        <w:tabs>
          <w:tab w:leader="none" w:pos="22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2280" w:right="840" w:hanging="651"/>
        <w:spacing w:after="0" w:line="282" w:lineRule="auto"/>
        <w:tabs>
          <w:tab w:leader="none" w:pos="22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12, 2017</w:t>
      </w:r>
    </w:p>
    <w:p>
      <w:pPr>
        <w:spacing w:after="0" w:line="360"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Joseph F. Puishys</w:t>
      </w:r>
    </w:p>
    <w:p>
      <w:pPr>
        <w:spacing w:after="0" w:line="2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576" w:right="2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S. Porter, certify that:</w:t>
      </w:r>
    </w:p>
    <w:p>
      <w:pPr>
        <w:spacing w:after="0" w:line="117"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Apogee Enterprises, Inc.;</w:t>
      </w:r>
    </w:p>
    <w:p>
      <w:pPr>
        <w:spacing w:after="0" w:line="11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1300" w:right="400" w:hanging="644"/>
        <w:spacing w:after="0" w:line="313" w:lineRule="auto"/>
        <w:tabs>
          <w:tab w:leader="none" w:pos="13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 w:lineRule="exact"/>
        <w:rPr>
          <w:rFonts w:ascii="Times New Roman" w:cs="Times New Roman" w:eastAsia="Times New Roman" w:hAnsi="Times New Roman"/>
          <w:sz w:val="17"/>
          <w:szCs w:val="17"/>
          <w:color w:val="auto"/>
        </w:rPr>
      </w:pPr>
    </w:p>
    <w:p>
      <w:pPr>
        <w:ind w:left="1300" w:right="20" w:hanging="644"/>
        <w:spacing w:after="0" w:line="266"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2280" w:right="80" w:hanging="651"/>
        <w:spacing w:after="0" w:line="266" w:lineRule="auto"/>
        <w:tabs>
          <w:tab w:leader="none" w:pos="22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2280" w:right="100" w:hanging="651"/>
        <w:spacing w:after="0" w:line="266" w:lineRule="auto"/>
        <w:tabs>
          <w:tab w:leader="none" w:pos="22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2280" w:right="180" w:hanging="651"/>
        <w:spacing w:after="0" w:line="266" w:lineRule="auto"/>
        <w:tabs>
          <w:tab w:leader="none" w:pos="22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ind w:left="2280" w:right="240" w:hanging="651"/>
        <w:spacing w:after="0" w:line="266" w:lineRule="auto"/>
        <w:tabs>
          <w:tab w:leader="none" w:pos="22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300" w:right="320" w:hanging="644"/>
        <w:spacing w:after="0" w:line="266"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ind w:left="2280" w:right="460" w:hanging="651"/>
        <w:spacing w:after="0" w:line="266" w:lineRule="auto"/>
        <w:tabs>
          <w:tab w:leader="none" w:pos="22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2280" w:right="840" w:hanging="651"/>
        <w:spacing w:after="0" w:line="282" w:lineRule="auto"/>
        <w:tabs>
          <w:tab w:leader="none" w:pos="22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12, 2017</w:t>
      </w:r>
    </w:p>
    <w:p>
      <w:pPr>
        <w:spacing w:after="0" w:line="360"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James S. Porter</w:t>
      </w:r>
    </w:p>
    <w:p>
      <w:pPr>
        <w:spacing w:after="0" w:line="2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Apogee Enterprises, Inc. (the “Company”) on Form 10-Q for the period ended September 2, 2017 as filed with the Securities and Exchange Commission (the “Report”), I, Joseph F. Puishys, Chief Executive Officer of the Company, certify, pursuant to 18 U.S.C. § 1350, as adopted pursuant to § 906 of the Sarbanes-Oxley Act of 2002, that based on my knowledge:</w:t>
      </w:r>
    </w:p>
    <w:p>
      <w:pPr>
        <w:spacing w:after="0" w:line="12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301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Joseph F. Puishys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October 12, 2017</w:t>
      </w:r>
    </w:p>
    <w:p>
      <w:pPr>
        <w:sectPr>
          <w:pgSz w:w="11900" w:h="16838" w:orient="portrait"/>
          <w:cols w:equalWidth="0" w:num="1">
            <w:col w:w="11420"/>
          </w:cols>
          <w:pgMar w:left="240" w:top="576" w:right="2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Apogee Enterprises, Inc. (the “Company”) on Form 10-Q for the period ended September 2, 2017 as filed with the Securities and Exchange Commission (the “Report”), I, James S. Porter, Chief Financial Officer of the Company, certify, pursuant to 18 U.S.C. § 1350, as adopted pursuant to § 906 of the Sarbanes-Oxley Act of 2002, that based on my knowledge:</w:t>
      </w:r>
    </w:p>
    <w:p>
      <w:pPr>
        <w:spacing w:after="0" w:line="12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301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James S. Porter</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October 12, 2017</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3"/>
    </w:lvl>
  </w:abstractNum>
  <w:abstractNum w:abstractNumId="6">
    <w:nsid w:val="6B68079A"/>
    <w:multiLevelType w:val="hybridMultilevel"/>
    <w:lvl w:ilvl="0">
      <w:lvlJc w:val="left"/>
      <w:lvlText w:val="%1."/>
      <w:numFmt w:val="decimal"/>
      <w:start w:val="4"/>
    </w:lvl>
  </w:abstractNum>
  <w:abstractNum w:abstractNumId="7">
    <w:nsid w:val="4E6AFB66"/>
    <w:multiLevelType w:val="hybridMultilevel"/>
    <w:lvl w:ilvl="0">
      <w:lvlJc w:val="left"/>
      <w:lvlText w:val="%1."/>
      <w:numFmt w:val="decimal"/>
      <w:start w:val="7"/>
    </w:lvl>
  </w:abstractNum>
  <w:abstractNum w:abstractNumId="8">
    <w:nsid w:val="25E45D32"/>
    <w:multiLevelType w:val="hybridMultilevel"/>
    <w:lvl w:ilvl="0">
      <w:lvlJc w:val="left"/>
      <w:lvlText w:val="%1."/>
      <w:numFmt w:val="decimal"/>
      <w:start w:val="8"/>
    </w:lvl>
  </w:abstractNum>
  <w:abstractNum w:abstractNumId="9">
    <w:nsid w:val="519B500D"/>
    <w:multiLevelType w:val="hybridMultilevel"/>
    <w:lvl w:ilvl="0">
      <w:lvlJc w:val="left"/>
      <w:lvlText w:val="%1."/>
      <w:numFmt w:val="decimal"/>
      <w:start w:val="9"/>
    </w:lvl>
  </w:abstractNum>
  <w:abstractNum w:abstractNumId="10">
    <w:nsid w:val="431BD7B7"/>
    <w:multiLevelType w:val="hybridMultilevel"/>
    <w:lvl w:ilvl="0">
      <w:lvlJc w:val="left"/>
      <w:lvlText w:val="%1."/>
      <w:numFmt w:val="decimal"/>
      <w:start w:val="14"/>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101"/>
    </w:lvl>
    <w:lvl w:ilvl="1">
      <w:lvlJc w:val="left"/>
      <w:lvlText w:val="(%2)"/>
      <w:numFmt w:val="lowerRoman"/>
      <w:start w:val="5"/>
    </w:lvl>
  </w:abstractNum>
  <w:abstractNum w:abstractNumId="20">
    <w:nsid w:val="2D1D5AE9"/>
    <w:multiLevelType w:val="hybridMultilevel"/>
    <w:lvl w:ilvl="0">
      <w:lvlJc w:val="left"/>
      <w:lvlText w:val="%1"/>
      <w:numFmt w:val="decimal"/>
      <w:start w:val="101"/>
    </w:lvl>
    <w:lvl w:ilvl="1">
      <w:lvlJc w:val="left"/>
      <w:lvlText w:val="(%2)"/>
      <w:numFmt w:val="lowerRoman"/>
      <w:start w:val="5"/>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2019-12-29T04:20:57Z</dcterms:created>
  <dcterms:modified xsi:type="dcterms:W3CDTF">2019-12-29T04:20:57Z</dcterms:modified>
</cp:coreProperties>
</file>