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556895</wp:posOffset>
            </wp:positionH>
            <wp:positionV relativeFrom="page">
              <wp:posOffset>551815</wp:posOffset>
            </wp:positionV>
            <wp:extent cx="64350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page">
              <wp:posOffset>556895</wp:posOffset>
            </wp:positionH>
            <wp:positionV relativeFrom="page">
              <wp:posOffset>488950</wp:posOffset>
            </wp:positionV>
            <wp:extent cx="64350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5090" cy="5715"/>
                    </a:xfrm>
                    <a:prstGeom prst="rect">
                      <a:avLst/>
                    </a:prstGeom>
                    <a:noFill/>
                  </pic:spPr>
                </pic:pic>
              </a:graphicData>
            </a:graphic>
          </wp:anchor>
        </w:drawing>
        <w:t>UNITED STATES</w:t>
      </w:r>
    </w:p>
    <w:p>
      <w:pPr>
        <w:spacing w:after="0" w:line="1" w:lineRule="exact"/>
        <w:rPr>
          <w:sz w:val="24"/>
          <w:szCs w:val="24"/>
          <w:color w:val="auto"/>
        </w:rPr>
      </w:pPr>
    </w:p>
    <w:p>
      <w:pPr>
        <w:jc w:val="center"/>
        <w:ind w:right="-1140"/>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140"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SCHEDULE 14A</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Proxy Statement Pursuant to Section 14(a) of the</w:t>
      </w:r>
    </w:p>
    <w:p>
      <w:pPr>
        <w:jc w:val="center"/>
        <w:ind w:right="-1140"/>
        <w:spacing w:after="0"/>
        <w:rPr>
          <w:sz w:val="20"/>
          <w:szCs w:val="20"/>
          <w:color w:val="auto"/>
        </w:rPr>
      </w:pPr>
      <w:r>
        <w:rPr>
          <w:rFonts w:ascii="Arial" w:cs="Arial" w:eastAsia="Arial" w:hAnsi="Arial"/>
          <w:sz w:val="12"/>
          <w:szCs w:val="12"/>
          <w:b w:val="1"/>
          <w:bCs w:val="1"/>
          <w:color w:val="auto"/>
        </w:rPr>
        <w:t>Securities Exchange Act of 1934</w:t>
      </w:r>
    </w:p>
    <w:p>
      <w:pPr>
        <w:spacing w:after="0" w:line="1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r>
        <w:rPr>
          <w:rFonts w:ascii="Arial" w:cs="Arial" w:eastAsia="Arial" w:hAnsi="Arial"/>
          <w:sz w:val="12"/>
          <w:szCs w:val="12"/>
          <w:color w:val="auto"/>
        </w:rPr>
        <w:t xml:space="preserve"> Filed by a Party other than the Registrant </w:t>
      </w:r>
      <w:r>
        <w:rPr>
          <w:rFonts w:ascii="MS PGothic" w:cs="MS PGothic" w:eastAsia="MS PGothic" w:hAnsi="MS PGothic"/>
          <w:sz w:val="12"/>
          <w:szCs w:val="12"/>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w:t>
      </w:r>
    </w:p>
    <w:p>
      <w:pPr>
        <w:spacing w:after="0" w:line="78" w:lineRule="exact"/>
        <w:rPr>
          <w:sz w:val="24"/>
          <w:szCs w:val="24"/>
          <w:color w:val="auto"/>
        </w:rPr>
      </w:pPr>
    </w:p>
    <w:p>
      <w:pPr>
        <w:ind w:left="840" w:hanging="836"/>
        <w:spacing w:after="0"/>
        <w:tabs>
          <w:tab w:leader="none" w:pos="8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78" w:lineRule="exact"/>
        <w:rPr>
          <w:rFonts w:ascii="MS PGothic" w:cs="MS PGothic" w:eastAsia="MS PGothic" w:hAnsi="MS PGothic"/>
          <w:sz w:val="12"/>
          <w:szCs w:val="12"/>
          <w:color w:val="auto"/>
        </w:rPr>
      </w:pPr>
    </w:p>
    <w:p>
      <w:pPr>
        <w:ind w:left="840" w:hanging="836"/>
        <w:spacing w:after="0"/>
        <w:tabs>
          <w:tab w:leader="none" w:pos="8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Confidential, for Use of the Commission Only (as permitted by Rule 14a-6(e)(2))</w:t>
      </w:r>
    </w:p>
    <w:p>
      <w:pPr>
        <w:spacing w:after="0" w:line="78" w:lineRule="exact"/>
        <w:rPr>
          <w:sz w:val="24"/>
          <w:szCs w:val="24"/>
          <w:color w:val="auto"/>
        </w:rPr>
      </w:pPr>
    </w:p>
    <w:p>
      <w:pPr>
        <w:ind w:left="840" w:hanging="836"/>
        <w:spacing w:after="0"/>
        <w:tabs>
          <w:tab w:leader="none" w:pos="8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14" w:lineRule="exact"/>
        <w:rPr>
          <w:sz w:val="24"/>
          <w:szCs w:val="24"/>
          <w:color w:val="auto"/>
        </w:rPr>
      </w:pPr>
    </w:p>
    <w:p>
      <w:pPr>
        <w:ind w:left="840" w:hanging="836"/>
        <w:spacing w:after="0"/>
        <w:tabs>
          <w:tab w:leader="none" w:pos="84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114" w:lineRule="exact"/>
        <w:rPr>
          <w:rFonts w:ascii="MS PGothic" w:cs="MS PGothic" w:eastAsia="MS PGothic" w:hAnsi="MS PGothic"/>
          <w:sz w:val="12"/>
          <w:szCs w:val="12"/>
          <w:color w:val="auto"/>
        </w:rPr>
      </w:pPr>
    </w:p>
    <w:p>
      <w:pPr>
        <w:ind w:left="840" w:hanging="836"/>
        <w:spacing w:after="0"/>
        <w:tabs>
          <w:tab w:leader="none" w:pos="84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 240.14a-12</w:t>
      </w:r>
    </w:p>
    <w:p>
      <w:pPr>
        <w:spacing w:after="0" w:line="223" w:lineRule="exact"/>
        <w:rPr>
          <w:sz w:val="24"/>
          <w:szCs w:val="24"/>
          <w:color w:val="auto"/>
        </w:rPr>
      </w:pPr>
    </w:p>
    <w:p>
      <w:pPr>
        <w:jc w:val="center"/>
        <w:ind w:right="-1140"/>
        <w:spacing w:after="0"/>
        <w:rPr>
          <w:sz w:val="20"/>
          <w:szCs w:val="20"/>
          <w:color w:val="auto"/>
        </w:rPr>
      </w:pPr>
      <w:r>
        <w:rPr>
          <w:rFonts w:ascii="Arial" w:cs="Arial" w:eastAsia="Arial" w:hAnsi="Arial"/>
          <w:sz w:val="29"/>
          <w:szCs w:val="29"/>
          <w:b w:val="1"/>
          <w:bCs w:val="1"/>
          <w:color w:val="auto"/>
        </w:rPr>
        <w:t>Apogee Enterprises, Inc.</w:t>
      </w:r>
    </w:p>
    <w:p>
      <w:pPr>
        <w:spacing w:after="0" w:line="11" w:lineRule="exact"/>
        <w:rPr>
          <w:sz w:val="24"/>
          <w:szCs w:val="24"/>
          <w:color w:val="auto"/>
        </w:rPr>
      </w:pPr>
    </w:p>
    <w:p>
      <w:pPr>
        <w:ind w:left="4300"/>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53" w:lineRule="exact"/>
        <w:rPr>
          <w:sz w:val="24"/>
          <w:szCs w:val="24"/>
          <w:color w:val="auto"/>
        </w:rPr>
      </w:pPr>
    </w:p>
    <w:p>
      <w:pPr>
        <w:ind w:left="4020"/>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Payment of Filing Fee (Check the appropriate box):</w:t>
      </w:r>
    </w:p>
    <w:p>
      <w:pPr>
        <w:spacing w:after="0" w:line="321" w:lineRule="exact"/>
        <w:rPr>
          <w:sz w:val="24"/>
          <w:szCs w:val="24"/>
          <w:color w:val="auto"/>
        </w:rPr>
      </w:pPr>
    </w:p>
    <w:p>
      <w:pPr>
        <w:ind w:left="560" w:hanging="556"/>
        <w:spacing w:after="0"/>
        <w:tabs>
          <w:tab w:leader="none" w:pos="56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78" w:lineRule="exact"/>
        <w:rPr>
          <w:sz w:val="24"/>
          <w:szCs w:val="24"/>
          <w:color w:val="auto"/>
        </w:rPr>
      </w:pPr>
    </w:p>
    <w:p>
      <w:pPr>
        <w:ind w:left="560" w:hanging="556"/>
        <w:spacing w:after="0"/>
        <w:tabs>
          <w:tab w:leader="none" w:pos="5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78" w:lineRule="exact"/>
        <w:rPr>
          <w:rFonts w:ascii="MS PGothic" w:cs="MS PGothic" w:eastAsia="MS PGothic" w:hAnsi="MS PGothic"/>
          <w:sz w:val="12"/>
          <w:szCs w:val="12"/>
          <w:color w:val="auto"/>
        </w:rPr>
      </w:pPr>
    </w:p>
    <w:p>
      <w:pPr>
        <w:ind w:left="560" w:hanging="556"/>
        <w:spacing w:after="0"/>
        <w:tabs>
          <w:tab w:leader="none" w:pos="5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942340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526415</wp:posOffset>
            </wp:positionV>
            <wp:extent cx="67837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37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486410</wp:posOffset>
            </wp:positionV>
            <wp:extent cx="67837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5715"/>
                    </a:xfrm>
                    <a:prstGeom prst="rect">
                      <a:avLst/>
                    </a:prstGeom>
                    <a:noFill/>
                  </pic:spPr>
                </pic:pic>
              </a:graphicData>
            </a:graphic>
          </wp:anchor>
        </w:drawing>
      </w:r>
    </w:p>
    <w:p>
      <w:pPr>
        <w:sectPr>
          <w:pgSz w:w="11900" w:h="16838" w:orient="portrait"/>
          <w:cols w:equalWidth="0" w:num="1">
            <w:col w:w="10159"/>
          </w:cols>
          <w:pgMar w:left="300" w:top="105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546100</wp:posOffset>
            </wp:positionV>
            <wp:extent cx="914400" cy="777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14400" cy="77724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4400 West 78th Street, Suite 520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 55435</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05445E"/>
        </w:rPr>
        <w:t>Wednesday, June 24, 2026</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8:00 a.m. Central Time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Notice of 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Annual Meeting</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 Shareholders</w:t>
      </w:r>
    </w:p>
    <w:p>
      <w:pPr>
        <w:spacing w:after="0" w:line="733" w:lineRule="exact"/>
        <w:rPr>
          <w:sz w:val="20"/>
          <w:szCs w:val="20"/>
          <w:color w:val="auto"/>
        </w:rPr>
      </w:pPr>
    </w:p>
    <w:p>
      <w:pPr>
        <w:sectPr>
          <w:pgSz w:w="11900" w:h="16838" w:orient="portrait"/>
          <w:cols w:equalWidth="0" w:num="2">
            <w:col w:w="8820" w:space="720"/>
            <w:col w:w="1760"/>
          </w:cols>
          <w:pgMar w:left="300" w:top="1440" w:right="299" w:bottom="1440" w:gutter="0" w:footer="0" w:header="0"/>
        </w:sectPr>
      </w:pPr>
    </w:p>
    <w:p>
      <w:pPr>
        <w:jc w:val="both"/>
        <w:spacing w:after="0" w:line="268" w:lineRule="auto"/>
        <w:rPr>
          <w:sz w:val="20"/>
          <w:szCs w:val="20"/>
          <w:color w:val="auto"/>
        </w:rPr>
      </w:pPr>
      <w:r>
        <w:rPr>
          <w:rFonts w:ascii="Arial" w:cs="Arial" w:eastAsia="Arial" w:hAnsi="Arial"/>
          <w:sz w:val="12"/>
          <w:szCs w:val="12"/>
          <w:color w:val="auto"/>
        </w:rPr>
        <w:t>The 2026 Annual Meeting of Shareholders of Apogee Enterprises, Inc. (the “Annual Meeting”) will be held at 8:00 a.m. Central Time on Wednesday, June 24, 2026. In order to expand access to the Annual Meeting we are hosting a virtual-only meeting. It is our goal to approximate an in-person experience for our shareholders. You may attend the virtual meeting and vote your shares electronically during the meeting via the Internet by visiting www.virtualshareholdermeeting.com/APOG2026.</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purpose of the Annual Meeting is to consider and take action on the following:</w:t>
      </w:r>
    </w:p>
    <w:p>
      <w:pPr>
        <w:spacing w:after="0" w:line="150" w:lineRule="exact"/>
        <w:rPr>
          <w:sz w:val="20"/>
          <w:szCs w:val="20"/>
          <w:color w:val="auto"/>
        </w:rPr>
      </w:pPr>
    </w:p>
    <w:p>
      <w:pPr>
        <w:ind w:left="520" w:hanging="420"/>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Election of two Class I directors for terms expiring at our 2029 Annual Meeting of Shareholders;</w:t>
      </w:r>
    </w:p>
    <w:p>
      <w:pPr>
        <w:spacing w:after="0" w:line="78" w:lineRule="exact"/>
        <w:rPr>
          <w:rFonts w:ascii="Arial" w:cs="Arial" w:eastAsia="Arial" w:hAnsi="Arial"/>
          <w:sz w:val="12"/>
          <w:szCs w:val="12"/>
          <w:color w:val="auto"/>
        </w:rPr>
      </w:pPr>
    </w:p>
    <w:p>
      <w:pPr>
        <w:ind w:left="520" w:hanging="420"/>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Advisory vote to approve Apogee’s executive compensation;</w:t>
      </w:r>
    </w:p>
    <w:p>
      <w:pPr>
        <w:spacing w:after="0" w:line="78" w:lineRule="exact"/>
        <w:rPr>
          <w:rFonts w:ascii="Arial" w:cs="Arial" w:eastAsia="Arial" w:hAnsi="Arial"/>
          <w:sz w:val="12"/>
          <w:szCs w:val="12"/>
          <w:color w:val="auto"/>
        </w:rPr>
      </w:pPr>
    </w:p>
    <w:p>
      <w:pPr>
        <w:ind w:left="520" w:hanging="420"/>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Approval of the Apogee Enterprises, Inc. 2019 Stock Incentive Plan, as Amended and Restated (2026), to increase the number of shares authorized for awards from 2,150,000 to 2,950,000;</w:t>
      </w:r>
    </w:p>
    <w:p>
      <w:pPr>
        <w:spacing w:after="0" w:line="78" w:lineRule="exact"/>
        <w:rPr>
          <w:rFonts w:ascii="Arial" w:cs="Arial" w:eastAsia="Arial" w:hAnsi="Arial"/>
          <w:sz w:val="12"/>
          <w:szCs w:val="12"/>
          <w:color w:val="auto"/>
        </w:rPr>
      </w:pPr>
    </w:p>
    <w:p>
      <w:pPr>
        <w:ind w:left="520" w:hanging="420"/>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Advisory vote to ratify the appointment of Deloitte &amp; Touche LLP as our independent registered public accounting firm for the fiscal year ending February 27, 2027; and</w:t>
      </w:r>
    </w:p>
    <w:p>
      <w:pPr>
        <w:spacing w:after="0" w:line="78" w:lineRule="exact"/>
        <w:rPr>
          <w:rFonts w:ascii="Arial" w:cs="Arial" w:eastAsia="Arial" w:hAnsi="Arial"/>
          <w:sz w:val="12"/>
          <w:szCs w:val="12"/>
          <w:color w:val="auto"/>
        </w:rPr>
      </w:pPr>
    </w:p>
    <w:p>
      <w:pPr>
        <w:ind w:left="520" w:hanging="420"/>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Transaction of such other business as may properly be brought before the Annual Meeting.</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Board of Directors has fixed the close of business on April 27, 2026, as the record date for the determination of shareholders entitled to receive notice of and to vote at the Annual Meeting. Your vote is important. Whether or not you plan to attend the virtual meeting, you are encouraged to vote your shares as soon as possible pursuant to the instructions in the Notice of Internet Availability of Proxy Materials and in the accompanying Proxy Statement.</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46355</wp:posOffset>
            </wp:positionV>
            <wp:extent cx="1194435" cy="388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443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Bryan A. Welp</w:t>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Vice President, General Counsel and Secretary</w:t>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Minneapolis, Minnesota</w:t>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166370</wp:posOffset>
            </wp:positionV>
            <wp:extent cx="646938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9380" cy="308610"/>
                    </a:xfrm>
                    <a:prstGeom prst="rect">
                      <a:avLst/>
                    </a:prstGeom>
                    <a:noFill/>
                  </pic:spPr>
                </pic:pic>
              </a:graphicData>
            </a:graphic>
          </wp:anchor>
        </w:drawing>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Important Notice Regarding the Availability of Proxy Materials for the Shareholder Meeting</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to be held on June 24, 2026: Our 2026 Proxy Statement and our Fiscal 2026 Annual Report</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xml:space="preserve">to Shareholders are available at </w:t>
      </w:r>
      <w:r>
        <w:rPr>
          <w:rFonts w:ascii="Arial" w:cs="Arial" w:eastAsia="Arial" w:hAnsi="Arial"/>
          <w:sz w:val="12"/>
          <w:szCs w:val="12"/>
          <w:b w:val="1"/>
          <w:bCs w:val="1"/>
          <w:u w:val="single" w:color="auto"/>
          <w:color w:val="auto"/>
        </w:rPr>
        <w:t>www.proxyvote.com</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437515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5"/>
        </w:trPr>
        <w:tc>
          <w:tcPr>
            <w:tcW w:w="4680" w:type="dxa"/>
            <w:vAlign w:val="bottom"/>
          </w:tcPr>
          <w:p>
            <w:pPr>
              <w:spacing w:after="0"/>
              <w:rPr>
                <w:sz w:val="14"/>
                <w:szCs w:val="14"/>
                <w:color w:val="auto"/>
              </w:rPr>
            </w:pPr>
          </w:p>
        </w:tc>
        <w:tc>
          <w:tcPr>
            <w:tcW w:w="6600" w:type="dxa"/>
            <w:vAlign w:val="bottom"/>
          </w:tcPr>
          <w:p>
            <w:pPr>
              <w:jc w:val="right"/>
              <w:ind w:right="4940"/>
              <w:spacing w:after="0"/>
              <w:rPr>
                <w:sz w:val="20"/>
                <w:szCs w:val="20"/>
                <w:color w:val="auto"/>
              </w:rPr>
            </w:pPr>
            <w:r>
              <w:rPr>
                <w:rFonts w:ascii="Arial" w:cs="Arial" w:eastAsia="Arial" w:hAnsi="Arial"/>
                <w:sz w:val="12"/>
                <w:szCs w:val="12"/>
                <w:b w:val="1"/>
                <w:bCs w:val="1"/>
                <w:color w:val="auto"/>
              </w:rPr>
              <w:t>TABLE OF CONTENTS</w:t>
            </w:r>
          </w:p>
        </w:tc>
      </w:tr>
      <w:tr>
        <w:trPr>
          <w:trHeight w:val="324"/>
        </w:trPr>
        <w:tc>
          <w:tcPr>
            <w:tcW w:w="4680" w:type="dxa"/>
            <w:vAlign w:val="bottom"/>
          </w:tcPr>
          <w:p>
            <w:pPr>
              <w:spacing w:after="0"/>
              <w:rPr>
                <w:sz w:val="20"/>
                <w:szCs w:val="20"/>
                <w:color w:val="auto"/>
              </w:rPr>
            </w:pPr>
            <w:r>
              <w:rPr>
                <w:rFonts w:ascii="Arial" w:cs="Arial" w:eastAsia="Arial" w:hAnsi="Arial"/>
                <w:sz w:val="12"/>
                <w:szCs w:val="12"/>
                <w:b w:val="1"/>
                <w:bCs w:val="1"/>
                <w:color w:val="auto"/>
              </w:rPr>
              <w:t>Notice of 2026 Annual Meeting of Shareholders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i</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Proxy Statement Summary</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Security Ownership of Certain Beneficial Owners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10</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Security Ownership of Directors and Management</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11</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Delinquent Section 16(a) Reports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13</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Proposal 1: Election of Directors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14</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Corporate Governance</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Corporate Governance Resources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Code of Business Ethics and Conduct</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Corporate Governance Guidelines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Communications with Our Board of Directors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Director Independence</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22</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Board Leadership Structure</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22</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Criteria for Membership on Our Board of Directors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Director Time Commitment and Other Board Service</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Procedure for Evaluating Director Nominees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Board Refreshment and Retirement Policy</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Stock Ownership Guidelines for Non-Employee Directors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Board Meetings and 2025 Annual Meeting of Shareholders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24</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Board Committee Responsibilities, Meetings and Membership</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24</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Risk Oversight by Our Board of Directors and Management</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26</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Sustainability and Human Capital Resources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27</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Certain Relationships and Related Transactions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28</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Insider Trading and Tipping and Hedging Policy</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28</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Non-Employee Director Compensation</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29</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Non-Employee Director Compensation Arrangements During Fiscal 2026</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29</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Annual Equity Awards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29</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Director Deferred Compensation Arrangements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30</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Charitable Matching Contributions Program for Non-Employee Directors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30</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Fiscal 2026 Non-Employee Director Compensation Table</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31</w:t>
            </w:r>
          </w:p>
        </w:tc>
      </w:tr>
      <w:tr>
        <w:trPr>
          <w:trHeight w:val="180"/>
        </w:trPr>
        <w:tc>
          <w:tcPr>
            <w:tcW w:w="4680" w:type="dxa"/>
            <w:vAlign w:val="bottom"/>
          </w:tcPr>
          <w:p>
            <w:pPr>
              <w:spacing w:after="0"/>
              <w:rPr>
                <w:sz w:val="20"/>
                <w:szCs w:val="20"/>
                <w:color w:val="auto"/>
              </w:rPr>
            </w:pPr>
            <w:r>
              <w:rPr>
                <w:rFonts w:ascii="Arial" w:cs="Arial" w:eastAsia="Arial" w:hAnsi="Arial"/>
                <w:sz w:val="12"/>
                <w:szCs w:val="12"/>
                <w:b w:val="1"/>
                <w:bCs w:val="1"/>
                <w:color w:val="auto"/>
              </w:rPr>
              <w:t>Executive Compensation</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Compensation Committee Report</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Compensation Discussion and Analysis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34</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Executive Stock Ownership Guidelines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Anti-Hedging and Anti-Pledging Policies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Clawback Policy</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Policy and Procedures for Granting of Equity-Based Awards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51</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Tax Considerations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52</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Compensation Risk Analysis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52</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Summary Compensation Table</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Grants of Plan-Based Awards</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55</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Outstanding Equity Awards at Fiscal Year-End</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57</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Option Exercises and Stock Vested</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60</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Non-Qualified Deferred Compensation</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60</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Potential Payments Upon Termination or Following a Change-in-Control</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62</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Retirement</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63</w:t>
            </w:r>
          </w:p>
        </w:tc>
      </w:tr>
      <w:tr>
        <w:trPr>
          <w:trHeight w:val="180"/>
        </w:trPr>
        <w:tc>
          <w:tcPr>
            <w:tcW w:w="4680" w:type="dxa"/>
            <w:vAlign w:val="bottom"/>
          </w:tcPr>
          <w:p>
            <w:pPr>
              <w:ind w:left="220"/>
              <w:spacing w:after="0"/>
              <w:rPr>
                <w:sz w:val="20"/>
                <w:szCs w:val="20"/>
                <w:color w:val="auto"/>
              </w:rPr>
            </w:pPr>
            <w:r>
              <w:rPr>
                <w:rFonts w:ascii="Arial" w:cs="Arial" w:eastAsia="Arial" w:hAnsi="Arial"/>
                <w:sz w:val="12"/>
                <w:szCs w:val="12"/>
                <w:b w:val="1"/>
                <w:bCs w:val="1"/>
                <w:color w:val="auto"/>
              </w:rPr>
              <w:t>Payments Made Upon Termination Without Cause or For Good Reason</w:t>
            </w: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63</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8920" w:type="dxa"/>
            <w:vAlign w:val="bottom"/>
          </w:tcPr>
          <w:p>
            <w:pPr>
              <w:spacing w:after="0"/>
              <w:rPr>
                <w:sz w:val="20"/>
                <w:szCs w:val="20"/>
                <w:color w:val="auto"/>
              </w:rPr>
            </w:pPr>
            <w:r>
              <w:rPr>
                <w:rFonts w:ascii="Arial" w:cs="Arial" w:eastAsia="Arial" w:hAnsi="Arial"/>
                <w:sz w:val="12"/>
                <w:szCs w:val="12"/>
                <w:b w:val="1"/>
                <w:bCs w:val="1"/>
                <w:color w:val="auto"/>
              </w:rPr>
              <w:t>CEO Pay Ratio Disclosure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68</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Pay Versus Performance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69</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Proposal 2: Advisory Approval of Apogee’s Executive Compensation</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73</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Proposal 3: Approval of the Apogee Enterprises, Inc. 2019 Stock Incentive Plan, as Amended and Restated (2026)</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75</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Proposal 4: Ratification of Appointment of Independent Registered Public Accounting Firm</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85</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Audit Committee Report</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86</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Fees Paid to Independent Registered Public Accounting Firm</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87</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Audit Fees, Audit-Related Fees, Tax Fees and All Other Fees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87</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Policy on Audit Committee Pre-Approval of Audit and Permissible Non-Audit Services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87</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Frequently Asked Questions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88</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Who is entitled to vote at the meeting?</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88</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are my voting rights?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88</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many shares must be present to hold the meeting?</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88</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can I attend the meeting?</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88</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am I voting on, what vote is required to approve each proposal and how does the Board recommend I vote?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89</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can I ask questions during the Annual Meeting?</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90</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do I cast my vote?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90</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do I vote if my shares are held in the Employee Stock Purchase Plan or other plans of Apogee?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90</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does it mean if I receive more than one proxy card?</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91</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Who will count the vote?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91</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if I do not specify how I want my shares voted?</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91</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Can I change my vote after submitting my proxy or voting instructions?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91</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can I get a copy of the Company’s 2026 Annual Report on Form 10-K?</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92</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do I get electronic access to the proxy materials?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92</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is a proxy?</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92</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is the difference between a shareholder of record and a “street name” holder?</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92</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Who pays for the cost of proxy preparation and solicitation?</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92</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can I recommend or nominate a director candidate?</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92</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How can I present a proposal at the 2027 Annual Meeting of Shareholders?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93</w:t>
            </w:r>
          </w:p>
        </w:tc>
      </w:tr>
      <w:tr>
        <w:trPr>
          <w:trHeight w:val="180"/>
        </w:trPr>
        <w:tc>
          <w:tcPr>
            <w:tcW w:w="8920" w:type="dxa"/>
            <w:vAlign w:val="bottom"/>
          </w:tcPr>
          <w:p>
            <w:pPr>
              <w:ind w:left="220"/>
              <w:spacing w:after="0"/>
              <w:rPr>
                <w:sz w:val="20"/>
                <w:szCs w:val="20"/>
                <w:color w:val="auto"/>
              </w:rPr>
            </w:pPr>
            <w:r>
              <w:rPr>
                <w:rFonts w:ascii="Arial" w:cs="Arial" w:eastAsia="Arial" w:hAnsi="Arial"/>
                <w:sz w:val="12"/>
                <w:szCs w:val="12"/>
                <w:b w:val="1"/>
                <w:bCs w:val="1"/>
                <w:color w:val="auto"/>
              </w:rPr>
              <w:t>What is “householding” of proxy materials?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93</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Appendix A - Non-GAAP Measures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95</w:t>
            </w:r>
          </w:p>
        </w:tc>
      </w:tr>
      <w:tr>
        <w:trPr>
          <w:trHeight w:val="180"/>
        </w:trPr>
        <w:tc>
          <w:tcPr>
            <w:tcW w:w="8920" w:type="dxa"/>
            <w:vAlign w:val="bottom"/>
          </w:tcPr>
          <w:p>
            <w:pPr>
              <w:spacing w:after="0"/>
              <w:rPr>
                <w:sz w:val="20"/>
                <w:szCs w:val="20"/>
                <w:color w:val="auto"/>
              </w:rPr>
            </w:pPr>
            <w:r>
              <w:rPr>
                <w:rFonts w:ascii="Arial" w:cs="Arial" w:eastAsia="Arial" w:hAnsi="Arial"/>
                <w:sz w:val="12"/>
                <w:szCs w:val="12"/>
                <w:b w:val="1"/>
                <w:bCs w:val="1"/>
                <w:color w:val="auto"/>
              </w:rPr>
              <w:t>Appendix B - 2019 Stock Incentive Plan, as Amended and Restated (2026)</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98</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24"/>
          <w:szCs w:val="24"/>
          <w:color w:val="auto"/>
        </w:rPr>
        <w:t>Proxy Statement Summary</w:t>
      </w:r>
    </w:p>
    <w:p>
      <w:pPr>
        <w:spacing w:after="0" w:line="160"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This summary highlights information contained elsewhere in this Proxy Statement. This summary does not contain all of the information that you should consider; you should read the entire Proxy Statement carefully before voting.</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05445E"/>
        </w:rPr>
        <w:t>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065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571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189865</wp:posOffset>
            </wp:positionV>
            <wp:extent cx="285750" cy="211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0" cy="21145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218440</wp:posOffset>
            </wp:positionV>
            <wp:extent cx="285750" cy="211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0" cy="21145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224155</wp:posOffset>
            </wp:positionV>
            <wp:extent cx="285750" cy="234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0" cy="2343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207010</wp:posOffset>
            </wp:positionV>
            <wp:extent cx="285750" cy="251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0" cy="25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40" w:type="dxa"/>
            <w:vAlign w:val="bottom"/>
          </w:tcPr>
          <w:p>
            <w:pPr>
              <w:jc w:val="center"/>
              <w:ind w:right="92"/>
              <w:spacing w:after="0"/>
              <w:rPr>
                <w:sz w:val="20"/>
                <w:szCs w:val="20"/>
                <w:color w:val="auto"/>
              </w:rPr>
            </w:pPr>
            <w:r>
              <w:rPr>
                <w:rFonts w:ascii="Arial" w:cs="Arial" w:eastAsia="Arial" w:hAnsi="Arial"/>
                <w:sz w:val="10"/>
                <w:szCs w:val="10"/>
                <w:b w:val="1"/>
                <w:bCs w:val="1"/>
                <w:color w:val="auto"/>
                <w:w w:val="96"/>
              </w:rPr>
              <w:t>Date and Time</w:t>
            </w:r>
          </w:p>
        </w:tc>
        <w:tc>
          <w:tcPr>
            <w:tcW w:w="3700" w:type="dxa"/>
            <w:vAlign w:val="bottom"/>
            <w:vMerge w:val="restart"/>
          </w:tcPr>
          <w:p>
            <w:pPr>
              <w:jc w:val="center"/>
              <w:ind w:right="12"/>
              <w:spacing w:after="0"/>
              <w:rPr>
                <w:sz w:val="20"/>
                <w:szCs w:val="20"/>
                <w:color w:val="auto"/>
              </w:rPr>
            </w:pPr>
            <w:r>
              <w:rPr>
                <w:rFonts w:ascii="Arial" w:cs="Arial" w:eastAsia="Arial" w:hAnsi="Arial"/>
                <w:sz w:val="10"/>
                <w:szCs w:val="10"/>
                <w:b w:val="1"/>
                <w:bCs w:val="1"/>
                <w:color w:val="auto"/>
                <w:w w:val="95"/>
              </w:rPr>
              <w:t>Location</w:t>
            </w:r>
          </w:p>
        </w:tc>
        <w:tc>
          <w:tcPr>
            <w:tcW w:w="2220" w:type="dxa"/>
            <w:vAlign w:val="bottom"/>
            <w:vMerge w:val="restart"/>
          </w:tcPr>
          <w:p>
            <w:pPr>
              <w:ind w:left="860"/>
              <w:spacing w:after="0"/>
              <w:rPr>
                <w:sz w:val="20"/>
                <w:szCs w:val="20"/>
                <w:color w:val="auto"/>
              </w:rPr>
            </w:pPr>
            <w:r>
              <w:rPr>
                <w:rFonts w:ascii="Arial" w:cs="Arial" w:eastAsia="Arial" w:hAnsi="Arial"/>
                <w:sz w:val="10"/>
                <w:szCs w:val="10"/>
                <w:b w:val="1"/>
                <w:bCs w:val="1"/>
                <w:color w:val="auto"/>
              </w:rPr>
              <w:t>Mailing Date</w:t>
            </w:r>
          </w:p>
        </w:tc>
        <w:tc>
          <w:tcPr>
            <w:tcW w:w="2160" w:type="dxa"/>
            <w:vAlign w:val="bottom"/>
            <w:vMerge w:val="restart"/>
          </w:tcPr>
          <w:p>
            <w:pPr>
              <w:ind w:left="800"/>
              <w:spacing w:after="0"/>
              <w:rPr>
                <w:sz w:val="20"/>
                <w:szCs w:val="20"/>
                <w:color w:val="auto"/>
              </w:rPr>
            </w:pPr>
            <w:r>
              <w:rPr>
                <w:rFonts w:ascii="Arial" w:cs="Arial" w:eastAsia="Arial" w:hAnsi="Arial"/>
                <w:sz w:val="10"/>
                <w:szCs w:val="10"/>
                <w:b w:val="1"/>
                <w:bCs w:val="1"/>
                <w:color w:val="auto"/>
              </w:rPr>
              <w:t>Record Date</w:t>
            </w:r>
          </w:p>
        </w:tc>
        <w:tc>
          <w:tcPr>
            <w:tcW w:w="0" w:type="dxa"/>
            <w:vAlign w:val="bottom"/>
          </w:tcPr>
          <w:p>
            <w:pPr>
              <w:spacing w:after="0"/>
              <w:rPr>
                <w:sz w:val="1"/>
                <w:szCs w:val="1"/>
                <w:color w:val="auto"/>
              </w:rPr>
            </w:pPr>
          </w:p>
        </w:tc>
      </w:tr>
      <w:tr>
        <w:trPr>
          <w:trHeight w:val="99"/>
        </w:trPr>
        <w:tc>
          <w:tcPr>
            <w:tcW w:w="2640" w:type="dxa"/>
            <w:vAlign w:val="bottom"/>
            <w:vMerge w:val="restart"/>
          </w:tcPr>
          <w:p>
            <w:pPr>
              <w:jc w:val="center"/>
              <w:ind w:right="92"/>
              <w:spacing w:after="0"/>
              <w:rPr>
                <w:sz w:val="20"/>
                <w:szCs w:val="20"/>
                <w:color w:val="auto"/>
              </w:rPr>
            </w:pPr>
            <w:r>
              <w:rPr>
                <w:rFonts w:ascii="Arial" w:cs="Arial" w:eastAsia="Arial" w:hAnsi="Arial"/>
                <w:sz w:val="10"/>
                <w:szCs w:val="10"/>
                <w:color w:val="auto"/>
                <w:w w:val="94"/>
              </w:rPr>
              <w:t>Wednesday, June 24, 2026,</w:t>
            </w:r>
          </w:p>
        </w:tc>
        <w:tc>
          <w:tcPr>
            <w:tcW w:w="370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640" w:type="dxa"/>
            <w:vAlign w:val="bottom"/>
            <w:vMerge w:val="continue"/>
          </w:tcPr>
          <w:p>
            <w:pPr>
              <w:spacing w:after="0"/>
              <w:rPr>
                <w:sz w:val="6"/>
                <w:szCs w:val="6"/>
                <w:color w:val="auto"/>
              </w:rPr>
            </w:pPr>
          </w:p>
        </w:tc>
        <w:tc>
          <w:tcPr>
            <w:tcW w:w="37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640" w:type="dxa"/>
            <w:vAlign w:val="bottom"/>
            <w:tcBorders>
              <w:bottom w:val="single" w:sz="8" w:color="05445E"/>
            </w:tcBorders>
          </w:tcPr>
          <w:p>
            <w:pPr>
              <w:jc w:val="center"/>
              <w:ind w:right="72"/>
              <w:spacing w:after="0"/>
              <w:rPr>
                <w:sz w:val="20"/>
                <w:szCs w:val="20"/>
                <w:color w:val="auto"/>
              </w:rPr>
            </w:pPr>
            <w:r>
              <w:rPr>
                <w:rFonts w:ascii="Arial" w:cs="Arial" w:eastAsia="Arial" w:hAnsi="Arial"/>
                <w:sz w:val="10"/>
                <w:szCs w:val="10"/>
                <w:color w:val="auto"/>
                <w:w w:val="95"/>
              </w:rPr>
              <w:t>at 8:00 a.m. Central Time</w:t>
            </w:r>
          </w:p>
        </w:tc>
        <w:tc>
          <w:tcPr>
            <w:tcW w:w="3700" w:type="dxa"/>
            <w:vAlign w:val="bottom"/>
            <w:tcBorders>
              <w:bottom w:val="single" w:sz="8" w:color="05445E"/>
            </w:tcBorders>
          </w:tcPr>
          <w:p>
            <w:pPr>
              <w:jc w:val="center"/>
              <w:ind w:right="12"/>
              <w:spacing w:after="0"/>
              <w:rPr>
                <w:sz w:val="20"/>
                <w:szCs w:val="20"/>
                <w:color w:val="auto"/>
              </w:rPr>
            </w:pPr>
            <w:r>
              <w:rPr>
                <w:rFonts w:ascii="Arial" w:cs="Arial" w:eastAsia="Arial" w:hAnsi="Arial"/>
                <w:sz w:val="10"/>
                <w:szCs w:val="10"/>
                <w:color w:val="auto"/>
                <w:w w:val="94"/>
              </w:rPr>
              <w:t>www.virtualshareholdermeeting.com/APOG2026</w:t>
            </w:r>
          </w:p>
        </w:tc>
        <w:tc>
          <w:tcPr>
            <w:tcW w:w="2220" w:type="dxa"/>
            <w:vAlign w:val="bottom"/>
            <w:tcBorders>
              <w:bottom w:val="single" w:sz="8" w:color="05445E"/>
            </w:tcBorders>
          </w:tcPr>
          <w:p>
            <w:pPr>
              <w:ind w:left="860"/>
              <w:spacing w:after="0"/>
              <w:rPr>
                <w:sz w:val="20"/>
                <w:szCs w:val="20"/>
                <w:color w:val="auto"/>
              </w:rPr>
            </w:pPr>
            <w:r>
              <w:rPr>
                <w:rFonts w:ascii="Arial" w:cs="Arial" w:eastAsia="Arial" w:hAnsi="Arial"/>
                <w:sz w:val="10"/>
                <w:szCs w:val="10"/>
                <w:color w:val="auto"/>
              </w:rPr>
              <w:t>May 12, 2026</w:t>
            </w:r>
          </w:p>
        </w:tc>
        <w:tc>
          <w:tcPr>
            <w:tcW w:w="2160" w:type="dxa"/>
            <w:vAlign w:val="bottom"/>
            <w:tcBorders>
              <w:bottom w:val="single" w:sz="8" w:color="05445E"/>
            </w:tcBorders>
          </w:tcPr>
          <w:p>
            <w:pPr>
              <w:ind w:left="780"/>
              <w:spacing w:after="0"/>
              <w:rPr>
                <w:sz w:val="20"/>
                <w:szCs w:val="20"/>
                <w:color w:val="auto"/>
              </w:rPr>
            </w:pPr>
            <w:r>
              <w:rPr>
                <w:rFonts w:ascii="Arial" w:cs="Arial" w:eastAsia="Arial" w:hAnsi="Arial"/>
                <w:sz w:val="10"/>
                <w:szCs w:val="10"/>
                <w:color w:val="auto"/>
              </w:rPr>
              <w:t>April 27,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05445E"/>
        </w:rPr>
        <w:t>Items of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ind w:left="740"/>
              <w:spacing w:after="0"/>
              <w:rPr>
                <w:sz w:val="20"/>
                <w:szCs w:val="20"/>
                <w:color w:val="auto"/>
              </w:rPr>
            </w:pPr>
            <w:r>
              <w:rPr>
                <w:rFonts w:ascii="Arial" w:cs="Arial" w:eastAsia="Arial" w:hAnsi="Arial"/>
                <w:sz w:val="12"/>
                <w:szCs w:val="12"/>
                <w:b w:val="1"/>
                <w:bCs w:val="1"/>
                <w:color w:val="05445E"/>
              </w:rPr>
              <w:t>Board’s</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05445E"/>
              </w:rPr>
              <w:t>Item</w:t>
            </w:r>
          </w:p>
        </w:tc>
        <w:tc>
          <w:tcPr>
            <w:tcW w:w="80" w:type="dxa"/>
            <w:vAlign w:val="bottom"/>
            <w:tcBorders>
              <w:bottom w:val="single" w:sz="8" w:color="D9D9D9"/>
            </w:tcBorders>
          </w:tcPr>
          <w:p>
            <w:pPr>
              <w:spacing w:after="0"/>
              <w:rPr>
                <w:sz w:val="14"/>
                <w:szCs w:val="14"/>
                <w:color w:val="auto"/>
              </w:rPr>
            </w:pPr>
          </w:p>
        </w:tc>
        <w:tc>
          <w:tcPr>
            <w:tcW w:w="194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05445E"/>
              </w:rPr>
              <w:t>Recommendation</w:t>
            </w:r>
          </w:p>
        </w:tc>
        <w:tc>
          <w:tcPr>
            <w:tcW w:w="60" w:type="dxa"/>
            <w:vAlign w:val="bottom"/>
            <w:tcBorders>
              <w:bottom w:val="single" w:sz="8" w:color="D9D9D9"/>
            </w:tcBorders>
          </w:tcPr>
          <w:p>
            <w:pPr>
              <w:spacing w:after="0"/>
              <w:rPr>
                <w:sz w:val="14"/>
                <w:szCs w:val="1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05445E"/>
              </w:rPr>
              <w:t>Details</w:t>
            </w:r>
          </w:p>
        </w:tc>
        <w:tc>
          <w:tcPr>
            <w:tcW w:w="580" w:type="dxa"/>
            <w:vAlign w:val="bottom"/>
          </w:tcPr>
          <w:p>
            <w:pPr>
              <w:spacing w:after="0"/>
              <w:rPr>
                <w:sz w:val="14"/>
                <w:szCs w:val="14"/>
                <w:color w:val="auto"/>
              </w:rPr>
            </w:pPr>
          </w:p>
        </w:tc>
      </w:tr>
      <w:tr>
        <w:trPr>
          <w:trHeight w:val="129"/>
        </w:trPr>
        <w:tc>
          <w:tcPr>
            <w:tcW w:w="6640" w:type="dxa"/>
            <w:vAlign w:val="bottom"/>
            <w:gridSpan w:val="2"/>
            <w:shd w:val="clear" w:color="auto" w:fill="D9D9D9"/>
          </w:tcPr>
          <w:p>
            <w:pPr>
              <w:ind w:left="60"/>
              <w:spacing w:after="0" w:line="129" w:lineRule="exact"/>
              <w:rPr>
                <w:sz w:val="20"/>
                <w:szCs w:val="20"/>
                <w:color w:val="auto"/>
              </w:rPr>
            </w:pPr>
            <w:r>
              <w:rPr>
                <w:rFonts w:ascii="Arial" w:cs="Arial" w:eastAsia="Arial" w:hAnsi="Arial"/>
                <w:sz w:val="12"/>
                <w:szCs w:val="12"/>
                <w:b w:val="1"/>
                <w:bCs w:val="1"/>
                <w:color w:val="05445E"/>
              </w:rPr>
              <w:t xml:space="preserve">Proposal 1: </w:t>
            </w:r>
            <w:r>
              <w:rPr>
                <w:rFonts w:ascii="Arial" w:cs="Arial" w:eastAsia="Arial" w:hAnsi="Arial"/>
                <w:sz w:val="12"/>
                <w:szCs w:val="12"/>
                <w:color w:val="000000"/>
              </w:rPr>
              <w:t>Election of two Class I directors for terms expiring at our 2029 Annual Meeting of Shareholders</w:t>
            </w:r>
          </w:p>
        </w:tc>
        <w:tc>
          <w:tcPr>
            <w:tcW w:w="2000" w:type="dxa"/>
            <w:vAlign w:val="bottom"/>
            <w:gridSpan w:val="2"/>
            <w:shd w:val="clear" w:color="auto" w:fill="D9D9D9"/>
          </w:tcPr>
          <w:p>
            <w:pPr>
              <w:spacing w:after="0" w:line="129" w:lineRule="exact"/>
              <w:rPr>
                <w:sz w:val="20"/>
                <w:szCs w:val="20"/>
                <w:color w:val="auto"/>
              </w:rPr>
            </w:pPr>
            <w:r>
              <w:rPr>
                <w:rFonts w:ascii="Arial" w:cs="Arial" w:eastAsia="Arial" w:hAnsi="Arial"/>
                <w:sz w:val="12"/>
                <w:szCs w:val="12"/>
                <w:b w:val="1"/>
                <w:bCs w:val="1"/>
                <w:color w:val="auto"/>
              </w:rPr>
              <w:t>FOR</w:t>
            </w:r>
            <w:r>
              <w:rPr>
                <w:rFonts w:ascii="Arial" w:cs="Arial" w:eastAsia="Arial" w:hAnsi="Arial"/>
                <w:sz w:val="12"/>
                <w:szCs w:val="12"/>
                <w:color w:val="auto"/>
              </w:rPr>
              <w:t>, each</w:t>
            </w:r>
          </w:p>
        </w:tc>
        <w:tc>
          <w:tcPr>
            <w:tcW w:w="2080" w:type="dxa"/>
            <w:vAlign w:val="bottom"/>
            <w:gridSpan w:val="4"/>
            <w:shd w:val="clear" w:color="auto" w:fill="D9D9D9"/>
          </w:tcPr>
          <w:p>
            <w:pPr>
              <w:jc w:val="center"/>
              <w:spacing w:after="0" w:line="129" w:lineRule="exact"/>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color w:val="0000FF"/>
              </w:rPr>
              <w:t>14</w:t>
            </w:r>
          </w:p>
        </w:tc>
        <w:tc>
          <w:tcPr>
            <w:tcW w:w="580" w:type="dxa"/>
            <w:vAlign w:val="bottom"/>
          </w:tcPr>
          <w:p>
            <w:pPr>
              <w:spacing w:after="0"/>
              <w:rPr>
                <w:sz w:val="11"/>
                <w:szCs w:val="11"/>
                <w:color w:val="auto"/>
              </w:rPr>
            </w:pPr>
          </w:p>
        </w:tc>
      </w:tr>
      <w:tr>
        <w:trPr>
          <w:trHeight w:val="169"/>
        </w:trPr>
        <w:tc>
          <w:tcPr>
            <w:tcW w:w="6560" w:type="dxa"/>
            <w:vAlign w:val="bottom"/>
            <w:tcBorders>
              <w:top w:val="single" w:sz="8" w:color="D9D9D9"/>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2000" w:type="dxa"/>
            <w:vAlign w:val="bottom"/>
            <w:tcBorders>
              <w:top w:val="single" w:sz="8" w:color="D9D9D9"/>
            </w:tcBorders>
            <w:gridSpan w:val="2"/>
            <w:shd w:val="clear" w:color="auto" w:fill="D9D9D9"/>
          </w:tcPr>
          <w:p>
            <w:pPr>
              <w:spacing w:after="0"/>
              <w:rPr>
                <w:sz w:val="20"/>
                <w:szCs w:val="20"/>
                <w:color w:val="auto"/>
              </w:rPr>
            </w:pPr>
            <w:r>
              <w:rPr>
                <w:rFonts w:ascii="Arial" w:cs="Arial" w:eastAsia="Arial" w:hAnsi="Arial"/>
                <w:sz w:val="12"/>
                <w:szCs w:val="12"/>
                <w:color w:val="auto"/>
              </w:rPr>
              <w:t>Director Nominee</w:t>
            </w:r>
          </w:p>
        </w:tc>
        <w:tc>
          <w:tcPr>
            <w:tcW w:w="1100" w:type="dxa"/>
            <w:vAlign w:val="bottom"/>
            <w:tcBorders>
              <w:top w:val="single" w:sz="8" w:color="D9D9D9"/>
            </w:tcBorders>
            <w:shd w:val="clear" w:color="auto" w:fill="D9D9D9"/>
          </w:tcPr>
          <w:p>
            <w:pPr>
              <w:spacing w:after="0"/>
              <w:rPr>
                <w:sz w:val="14"/>
                <w:szCs w:val="14"/>
                <w:color w:val="auto"/>
              </w:rPr>
            </w:pPr>
          </w:p>
        </w:tc>
        <w:tc>
          <w:tcPr>
            <w:tcW w:w="20" w:type="dxa"/>
            <w:vAlign w:val="bottom"/>
            <w:tcBorders>
              <w:top w:val="single" w:sz="8" w:color="D9D9D9"/>
            </w:tcBorders>
            <w:shd w:val="clear" w:color="auto" w:fill="D9D9D9"/>
          </w:tcPr>
          <w:p>
            <w:pPr>
              <w:spacing w:after="0"/>
              <w:rPr>
                <w:sz w:val="14"/>
                <w:szCs w:val="14"/>
                <w:color w:val="auto"/>
              </w:rPr>
            </w:pPr>
          </w:p>
        </w:tc>
        <w:tc>
          <w:tcPr>
            <w:tcW w:w="140" w:type="dxa"/>
            <w:vAlign w:val="bottom"/>
            <w:tcBorders>
              <w:top w:val="single" w:sz="8" w:color="0000FF"/>
            </w:tcBorders>
            <w:shd w:val="clear" w:color="auto" w:fill="D9D9D9"/>
          </w:tcPr>
          <w:p>
            <w:pPr>
              <w:spacing w:after="0"/>
              <w:rPr>
                <w:sz w:val="14"/>
                <w:szCs w:val="14"/>
                <w:color w:val="auto"/>
              </w:rPr>
            </w:pPr>
          </w:p>
        </w:tc>
        <w:tc>
          <w:tcPr>
            <w:tcW w:w="820" w:type="dxa"/>
            <w:vAlign w:val="bottom"/>
            <w:tcBorders>
              <w:top w:val="single" w:sz="8" w:color="D9D9D9"/>
            </w:tcBorders>
            <w:shd w:val="clear" w:color="auto" w:fill="D9D9D9"/>
          </w:tcPr>
          <w:p>
            <w:pPr>
              <w:spacing w:after="0"/>
              <w:rPr>
                <w:sz w:val="14"/>
                <w:szCs w:val="14"/>
                <w:color w:val="auto"/>
              </w:rPr>
            </w:pPr>
          </w:p>
        </w:tc>
        <w:tc>
          <w:tcPr>
            <w:tcW w:w="580" w:type="dxa"/>
            <w:vAlign w:val="bottom"/>
          </w:tcPr>
          <w:p>
            <w:pPr>
              <w:spacing w:after="0"/>
              <w:rPr>
                <w:sz w:val="14"/>
                <w:szCs w:val="14"/>
                <w:color w:val="auto"/>
              </w:rPr>
            </w:pPr>
          </w:p>
        </w:tc>
      </w:tr>
      <w:tr>
        <w:trPr>
          <w:trHeight w:val="135"/>
        </w:trPr>
        <w:tc>
          <w:tcPr>
            <w:tcW w:w="6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05445E"/>
              </w:rPr>
              <w:t xml:space="preserve">Proposal 2: </w:t>
            </w:r>
            <w:r>
              <w:rPr>
                <w:rFonts w:ascii="Arial" w:cs="Arial" w:eastAsia="Arial" w:hAnsi="Arial"/>
                <w:sz w:val="12"/>
                <w:szCs w:val="12"/>
                <w:color w:val="000000"/>
              </w:rPr>
              <w:t>Advisory vote to approve Apogee's executive compensation</w:t>
            </w:r>
          </w:p>
        </w:tc>
        <w:tc>
          <w:tcPr>
            <w:tcW w:w="2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w:t>
            </w:r>
          </w:p>
        </w:tc>
        <w:tc>
          <w:tcPr>
            <w:tcW w:w="2660" w:type="dxa"/>
            <w:vAlign w:val="bottom"/>
            <w:gridSpan w:val="5"/>
          </w:tcPr>
          <w:p>
            <w:pPr>
              <w:jc w:val="center"/>
              <w:ind w:right="580"/>
              <w:spacing w:after="0" w:line="135" w:lineRule="exact"/>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color w:val="0000FF"/>
              </w:rPr>
              <w:t>73</w:t>
            </w:r>
          </w:p>
        </w:tc>
      </w:tr>
      <w:tr>
        <w:trPr>
          <w:trHeight w:val="25"/>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6640" w:type="dxa"/>
            <w:vAlign w:val="bottom"/>
            <w:gridSpan w:val="2"/>
            <w:shd w:val="clear" w:color="auto" w:fill="D9D9D9"/>
          </w:tcPr>
          <w:p>
            <w:pPr>
              <w:ind w:left="60"/>
              <w:spacing w:after="0" w:line="135" w:lineRule="exact"/>
              <w:rPr>
                <w:sz w:val="20"/>
                <w:szCs w:val="20"/>
                <w:color w:val="auto"/>
              </w:rPr>
            </w:pPr>
            <w:r>
              <w:rPr>
                <w:rFonts w:ascii="Arial" w:cs="Arial" w:eastAsia="Arial" w:hAnsi="Arial"/>
                <w:sz w:val="12"/>
                <w:szCs w:val="12"/>
                <w:b w:val="1"/>
                <w:bCs w:val="1"/>
                <w:color w:val="05445E"/>
              </w:rPr>
              <w:t xml:space="preserve">Proposal 3: </w:t>
            </w:r>
            <w:r>
              <w:rPr>
                <w:rFonts w:ascii="Arial" w:cs="Arial" w:eastAsia="Arial" w:hAnsi="Arial"/>
                <w:sz w:val="12"/>
                <w:szCs w:val="12"/>
                <w:color w:val="000000"/>
              </w:rPr>
              <w:t>Approval of the Apogee Enterprises, Inc. 2019 Stock Incentive Plan as Amended and Restated (2026)</w:t>
            </w:r>
          </w:p>
        </w:tc>
        <w:tc>
          <w:tcPr>
            <w:tcW w:w="2000" w:type="dxa"/>
            <w:vAlign w:val="bottom"/>
            <w:gridSpan w:val="2"/>
            <w:shd w:val="clear" w:color="auto" w:fill="D9D9D9"/>
          </w:tcPr>
          <w:p>
            <w:pPr>
              <w:spacing w:after="0" w:line="135" w:lineRule="exact"/>
              <w:rPr>
                <w:sz w:val="20"/>
                <w:szCs w:val="20"/>
                <w:color w:val="auto"/>
              </w:rPr>
            </w:pPr>
            <w:r>
              <w:rPr>
                <w:rFonts w:ascii="Arial" w:cs="Arial" w:eastAsia="Arial" w:hAnsi="Arial"/>
                <w:sz w:val="12"/>
                <w:szCs w:val="12"/>
                <w:b w:val="1"/>
                <w:bCs w:val="1"/>
                <w:color w:val="auto"/>
              </w:rPr>
              <w:t>FOR</w:t>
            </w:r>
          </w:p>
        </w:tc>
        <w:tc>
          <w:tcPr>
            <w:tcW w:w="2080" w:type="dxa"/>
            <w:vAlign w:val="bottom"/>
            <w:gridSpan w:val="4"/>
            <w:shd w:val="clear" w:color="auto" w:fill="D9D9D9"/>
          </w:tcPr>
          <w:p>
            <w:pPr>
              <w:jc w:val="center"/>
              <w:spacing w:after="0" w:line="135" w:lineRule="exact"/>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color w:val="0000FF"/>
              </w:rPr>
              <w:t>75</w:t>
            </w:r>
          </w:p>
        </w:tc>
        <w:tc>
          <w:tcPr>
            <w:tcW w:w="580" w:type="dxa"/>
            <w:vAlign w:val="bottom"/>
          </w:tcPr>
          <w:p>
            <w:pPr>
              <w:spacing w:after="0"/>
              <w:rPr>
                <w:sz w:val="11"/>
                <w:szCs w:val="11"/>
                <w:color w:val="auto"/>
              </w:rPr>
            </w:pPr>
          </w:p>
        </w:tc>
      </w:tr>
      <w:tr>
        <w:trPr>
          <w:trHeight w:val="25"/>
        </w:trPr>
        <w:tc>
          <w:tcPr>
            <w:tcW w:w="656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940" w:type="dxa"/>
            <w:vAlign w:val="bottom"/>
            <w:tcBorders>
              <w:top w:val="single" w:sz="8" w:color="D9D9D9"/>
            </w:tcBorders>
            <w:shd w:val="clear" w:color="auto" w:fill="D9D9D9"/>
          </w:tcPr>
          <w:p>
            <w:pPr>
              <w:spacing w:after="0"/>
              <w:rPr>
                <w:sz w:val="2"/>
                <w:szCs w:val="2"/>
                <w:color w:val="auto"/>
              </w:rPr>
            </w:pPr>
          </w:p>
        </w:tc>
        <w:tc>
          <w:tcPr>
            <w:tcW w:w="60" w:type="dxa"/>
            <w:vAlign w:val="bottom"/>
            <w:tcBorders>
              <w:top w:val="single" w:sz="8" w:color="D9D9D9"/>
            </w:tcBorders>
            <w:shd w:val="clear" w:color="auto" w:fill="D9D9D9"/>
          </w:tcPr>
          <w:p>
            <w:pPr>
              <w:spacing w:after="0"/>
              <w:rPr>
                <w:sz w:val="2"/>
                <w:szCs w:val="2"/>
                <w:color w:val="auto"/>
              </w:rPr>
            </w:pPr>
          </w:p>
        </w:tc>
        <w:tc>
          <w:tcPr>
            <w:tcW w:w="1100" w:type="dxa"/>
            <w:vAlign w:val="bottom"/>
            <w:tcBorders>
              <w:top w:val="single" w:sz="8" w:color="D9D9D9"/>
            </w:tcBorders>
            <w:shd w:val="clear" w:color="auto" w:fill="D9D9D9"/>
          </w:tcPr>
          <w:p>
            <w:pPr>
              <w:spacing w:after="0"/>
              <w:rPr>
                <w:sz w:val="2"/>
                <w:szCs w:val="2"/>
                <w:color w:val="auto"/>
              </w:rPr>
            </w:pPr>
          </w:p>
        </w:tc>
        <w:tc>
          <w:tcPr>
            <w:tcW w:w="20" w:type="dxa"/>
            <w:vAlign w:val="bottom"/>
            <w:tcBorders>
              <w:top w:val="single" w:sz="8" w:color="0000FF"/>
            </w:tcBorders>
            <w:shd w:val="clear" w:color="auto" w:fill="D9D9D9"/>
          </w:tcPr>
          <w:p>
            <w:pPr>
              <w:spacing w:after="0"/>
              <w:rPr>
                <w:sz w:val="2"/>
                <w:szCs w:val="2"/>
                <w:color w:val="auto"/>
              </w:rPr>
            </w:pPr>
          </w:p>
        </w:tc>
        <w:tc>
          <w:tcPr>
            <w:tcW w:w="140" w:type="dxa"/>
            <w:vAlign w:val="bottom"/>
            <w:tcBorders>
              <w:top w:val="single" w:sz="8" w:color="0000FF"/>
            </w:tcBorders>
            <w:shd w:val="clear" w:color="auto" w:fill="D9D9D9"/>
          </w:tcPr>
          <w:p>
            <w:pPr>
              <w:spacing w:after="0"/>
              <w:rPr>
                <w:sz w:val="2"/>
                <w:szCs w:val="2"/>
                <w:color w:val="auto"/>
              </w:rPr>
            </w:pPr>
          </w:p>
        </w:tc>
        <w:tc>
          <w:tcPr>
            <w:tcW w:w="820" w:type="dxa"/>
            <w:vAlign w:val="bottom"/>
            <w:tcBorders>
              <w:top w:val="single" w:sz="8" w:color="D9D9D9"/>
            </w:tcBorders>
            <w:shd w:val="clear" w:color="auto" w:fill="D9D9D9"/>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6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05445E"/>
              </w:rPr>
              <w:t xml:space="preserve">Proposal 4: </w:t>
            </w:r>
            <w:r>
              <w:rPr>
                <w:rFonts w:ascii="Arial" w:cs="Arial" w:eastAsia="Arial" w:hAnsi="Arial"/>
                <w:sz w:val="12"/>
                <w:szCs w:val="12"/>
                <w:color w:val="000000"/>
              </w:rPr>
              <w:t>Advisory vote to ratify the appointment of Deloitte &amp; Touche LLP as our independent registered public</w:t>
            </w:r>
          </w:p>
        </w:tc>
        <w:tc>
          <w:tcPr>
            <w:tcW w:w="2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w:t>
            </w:r>
          </w:p>
        </w:tc>
        <w:tc>
          <w:tcPr>
            <w:tcW w:w="2660" w:type="dxa"/>
            <w:vAlign w:val="bottom"/>
            <w:gridSpan w:val="5"/>
          </w:tcPr>
          <w:p>
            <w:pPr>
              <w:jc w:val="center"/>
              <w:ind w:right="580"/>
              <w:spacing w:after="0" w:line="135" w:lineRule="exact"/>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color w:val="0000FF"/>
              </w:rPr>
              <w:t>85</w:t>
            </w:r>
          </w:p>
        </w:tc>
      </w:tr>
      <w:tr>
        <w:trPr>
          <w:trHeight w:val="153"/>
        </w:trPr>
        <w:tc>
          <w:tcPr>
            <w:tcW w:w="6640" w:type="dxa"/>
            <w:vAlign w:val="bottom"/>
            <w:gridSpan w:val="2"/>
          </w:tcPr>
          <w:p>
            <w:pPr>
              <w:ind w:left="60"/>
              <w:spacing w:after="0"/>
              <w:rPr>
                <w:sz w:val="20"/>
                <w:szCs w:val="20"/>
                <w:color w:val="auto"/>
              </w:rPr>
            </w:pPr>
            <w:r>
              <w:rPr>
                <w:rFonts w:ascii="Arial" w:cs="Arial" w:eastAsia="Arial" w:hAnsi="Arial"/>
                <w:sz w:val="12"/>
                <w:szCs w:val="12"/>
                <w:color w:val="auto"/>
              </w:rPr>
              <w:t>accounting firm for the fiscal year ending February 27, 2027</w:t>
            </w: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630"/>
        </w:trPr>
        <w:tc>
          <w:tcPr>
            <w:tcW w:w="6560" w:type="dxa"/>
            <w:vAlign w:val="bottom"/>
          </w:tcPr>
          <w:p>
            <w:pPr>
              <w:ind w:left="562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6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7" w:right="29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05445E"/>
        </w:rPr>
        <w:t>Fiscal 2026 Financial Results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2"/>
          <w:szCs w:val="12"/>
          <w:color w:val="0A0A0A"/>
        </w:rPr>
        <w:t>We are a leading provider of architectural building products and services, as well as high-performance coated materials used in a variety of applications. Our four reporting segments are: Architectural Metals, Architectural Services, Architectural Glass, and Performance Surfaces.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2"/>
          <w:szCs w:val="12"/>
          <w:color w:val="0A0A0A"/>
        </w:rPr>
        <w:t>Fiscal 2026 was a year of disciplined execution for Apogee as we navigated a difficult economic environment while continuing to strengthen our operating foundation. We executed our priorities for the year including:</w:t>
      </w:r>
    </w:p>
    <w:p>
      <w:pPr>
        <w:spacing w:after="0" w:line="103" w:lineRule="exact"/>
        <w:rPr>
          <w:sz w:val="20"/>
          <w:szCs w:val="20"/>
          <w:color w:val="auto"/>
        </w:rPr>
      </w:pPr>
    </w:p>
    <w:p>
      <w:pPr>
        <w:ind w:left="420" w:right="20" w:hanging="212"/>
        <w:spacing w:after="0" w:line="28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Performance Surfaces Segment successfully integrated UW Interco, LLC (UW Solutions), acquired in late fiscal 2025, and the business delivered on the first-year financial targets of $100 million in revenue and adjusted EBITDA margin of at least 20%.</w:t>
      </w:r>
    </w:p>
    <w:p>
      <w:pPr>
        <w:spacing w:after="0" w:line="31" w:lineRule="exact"/>
        <w:rPr>
          <w:rFonts w:ascii="Arial" w:cs="Arial" w:eastAsia="Arial" w:hAnsi="Arial"/>
          <w:sz w:val="12"/>
          <w:szCs w:val="12"/>
          <w:color w:val="auto"/>
        </w:rPr>
      </w:pPr>
    </w:p>
    <w:p>
      <w:pPr>
        <w:ind w:left="420" w:hanging="212"/>
        <w:spacing w:after="0" w:line="160" w:lineRule="exact"/>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Apogee Management System (AMS) continued to drive improvements across our manufacturing footprint including enabling progress improving outcomes for customers in the Architectural Metals Segment through full value</w:t>
      </w:r>
      <w:r>
        <w:rPr>
          <w:rFonts w:ascii="MS PGothic" w:cs="MS PGothic" w:eastAsia="MS PGothic" w:hAnsi="MS PGothic"/>
          <w:sz w:val="12"/>
          <w:szCs w:val="12"/>
          <w:color w:val="auto"/>
        </w:rPr>
        <w:t>‑</w:t>
      </w:r>
      <w:r>
        <w:rPr>
          <w:rFonts w:ascii="Arial" w:cs="Arial" w:eastAsia="Arial" w:hAnsi="Arial"/>
          <w:sz w:val="12"/>
          <w:szCs w:val="12"/>
          <w:color w:val="auto"/>
        </w:rPr>
        <w:t>stream redesign, supported by a new product and manufacturing site. These enhancements drove higher service levels and shorter lead times while reducing cost of poor quality.</w:t>
      </w:r>
    </w:p>
    <w:p>
      <w:pPr>
        <w:spacing w:after="0" w:line="41"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actively managed our cost structure and manufacturing footprint through Project Fortify 2 ("Project Fortify Phase 2" or "Phase 2") to mitigate portions of direct and indirect tariffs while driving efficiencies across the organization. While these decisions were challenging and disruptive, we are confident that the actions will further position Apogee to successfully navigate the market headwinds into the future.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We also delivered meaningful gains in safety, service, and productivity, and generated solid cash flow.</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6" w:name="page7"/>
    <w:bookmarkEnd w:id="6"/>
    <w:p>
      <w:pPr>
        <w:ind w:left="4168"/>
        <w:spacing w:after="0"/>
        <w:rPr>
          <w:sz w:val="20"/>
          <w:szCs w:val="20"/>
          <w:color w:val="auto"/>
        </w:rPr>
      </w:pPr>
      <w:r>
        <w:rPr>
          <w:rFonts w:ascii="Arial" w:cs="Arial" w:eastAsia="Arial" w:hAnsi="Arial"/>
          <w:sz w:val="12"/>
          <w:szCs w:val="12"/>
          <w:b w:val="1"/>
          <w:bCs w:val="1"/>
          <w:color w:val="auto"/>
        </w:rPr>
        <w:t>Summary of Fiscal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8065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94" w:lineRule="exact"/>
        <w:rPr>
          <w:sz w:val="20"/>
          <w:szCs w:val="20"/>
          <w:color w:val="auto"/>
        </w:rPr>
      </w:pPr>
    </w:p>
    <w:p>
      <w:pPr>
        <w:ind w:left="8"/>
        <w:spacing w:after="0"/>
        <w:tabs>
          <w:tab w:leader="none" w:pos="2568" w:val="left"/>
          <w:tab w:leader="none" w:pos="2728" w:val="left"/>
        </w:tabs>
        <w:rPr>
          <w:sz w:val="20"/>
          <w:szCs w:val="20"/>
          <w:color w:val="auto"/>
        </w:rPr>
      </w:pPr>
      <w:r>
        <w:rPr>
          <w:rFonts w:ascii="Arial" w:cs="Arial" w:eastAsia="Arial" w:hAnsi="Arial"/>
          <w:sz w:val="12"/>
          <w:szCs w:val="12"/>
          <w:color w:val="auto"/>
        </w:rPr>
        <w:t>Net Sales</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Consolidated net sales were $1.40 billion compared to $1.36 billion in fiscal 2025.</w:t>
      </w:r>
    </w:p>
    <w:p>
      <w:pPr>
        <w:spacing w:after="0" w:line="150" w:lineRule="exact"/>
        <w:rPr>
          <w:sz w:val="20"/>
          <w:szCs w:val="20"/>
          <w:color w:val="auto"/>
        </w:rPr>
      </w:pPr>
    </w:p>
    <w:p>
      <w:pPr>
        <w:ind w:left="2748" w:hanging="162"/>
        <w:spacing w:after="0"/>
        <w:tabs>
          <w:tab w:leader="none" w:pos="2748" w:val="left"/>
        </w:tabs>
        <w:numPr>
          <w:ilvl w:val="0"/>
          <w:numId w:val="8"/>
        </w:numPr>
        <w:rPr>
          <w:rFonts w:ascii="Arial" w:cs="Arial" w:eastAsia="Arial" w:hAnsi="Arial"/>
          <w:sz w:val="12"/>
          <w:szCs w:val="12"/>
          <w:color w:val="auto"/>
        </w:rPr>
      </w:pPr>
      <w:r>
        <w:rPr>
          <w:rFonts w:ascii="Arial" w:cs="Arial" w:eastAsia="Arial" w:hAnsi="Arial"/>
          <w:sz w:val="12"/>
          <w:szCs w:val="12"/>
          <w:color w:val="auto"/>
        </w:rPr>
        <w:t>Architectural Metals Segment net sales were $504.0 million compared to $524.7 million in fiscal 2025.</w:t>
      </w:r>
    </w:p>
    <w:p>
      <w:pPr>
        <w:spacing w:after="0" w:line="150" w:lineRule="exact"/>
        <w:rPr>
          <w:rFonts w:ascii="Arial" w:cs="Arial" w:eastAsia="Arial" w:hAnsi="Arial"/>
          <w:sz w:val="12"/>
          <w:szCs w:val="12"/>
          <w:color w:val="auto"/>
        </w:rPr>
      </w:pPr>
    </w:p>
    <w:p>
      <w:pPr>
        <w:ind w:left="2748" w:hanging="162"/>
        <w:spacing w:after="0"/>
        <w:tabs>
          <w:tab w:leader="none" w:pos="2748" w:val="left"/>
        </w:tabs>
        <w:numPr>
          <w:ilvl w:val="0"/>
          <w:numId w:val="8"/>
        </w:numPr>
        <w:rPr>
          <w:rFonts w:ascii="Arial" w:cs="Arial" w:eastAsia="Arial" w:hAnsi="Arial"/>
          <w:sz w:val="12"/>
          <w:szCs w:val="12"/>
          <w:color w:val="auto"/>
        </w:rPr>
      </w:pPr>
      <w:r>
        <w:rPr>
          <w:rFonts w:ascii="Arial" w:cs="Arial" w:eastAsia="Arial" w:hAnsi="Arial"/>
          <w:sz w:val="12"/>
          <w:szCs w:val="12"/>
          <w:color w:val="auto"/>
        </w:rPr>
        <w:t>Architectural Services Segment net sales were $439.2 million compared to $419.9 million in fiscal 2025.</w:t>
      </w:r>
    </w:p>
    <w:p>
      <w:pPr>
        <w:spacing w:after="0" w:line="150" w:lineRule="exact"/>
        <w:rPr>
          <w:rFonts w:ascii="Arial" w:cs="Arial" w:eastAsia="Arial" w:hAnsi="Arial"/>
          <w:sz w:val="12"/>
          <w:szCs w:val="12"/>
          <w:color w:val="auto"/>
        </w:rPr>
      </w:pPr>
    </w:p>
    <w:p>
      <w:pPr>
        <w:ind w:left="2748" w:hanging="162"/>
        <w:spacing w:after="0"/>
        <w:tabs>
          <w:tab w:leader="none" w:pos="2748" w:val="left"/>
        </w:tabs>
        <w:numPr>
          <w:ilvl w:val="0"/>
          <w:numId w:val="8"/>
        </w:numPr>
        <w:rPr>
          <w:rFonts w:ascii="Arial" w:cs="Arial" w:eastAsia="Arial" w:hAnsi="Arial"/>
          <w:sz w:val="12"/>
          <w:szCs w:val="12"/>
          <w:color w:val="auto"/>
        </w:rPr>
      </w:pPr>
      <w:r>
        <w:rPr>
          <w:rFonts w:ascii="Arial" w:cs="Arial" w:eastAsia="Arial" w:hAnsi="Arial"/>
          <w:sz w:val="12"/>
          <w:szCs w:val="12"/>
          <w:color w:val="auto"/>
        </w:rPr>
        <w:t>Architectural Glass Segment net sales were $283.7 million compared to $322.2 million in fiscal 2025.</w:t>
      </w:r>
    </w:p>
    <w:p>
      <w:pPr>
        <w:spacing w:after="0" w:line="150" w:lineRule="exact"/>
        <w:rPr>
          <w:rFonts w:ascii="Arial" w:cs="Arial" w:eastAsia="Arial" w:hAnsi="Arial"/>
          <w:sz w:val="12"/>
          <w:szCs w:val="12"/>
          <w:color w:val="auto"/>
        </w:rPr>
      </w:pPr>
    </w:p>
    <w:p>
      <w:pPr>
        <w:ind w:left="2748" w:hanging="162"/>
        <w:spacing w:after="0"/>
        <w:tabs>
          <w:tab w:leader="none" w:pos="2748" w:val="left"/>
        </w:tabs>
        <w:numPr>
          <w:ilvl w:val="0"/>
          <w:numId w:val="8"/>
        </w:numPr>
        <w:rPr>
          <w:rFonts w:ascii="Arial" w:cs="Arial" w:eastAsia="Arial" w:hAnsi="Arial"/>
          <w:sz w:val="12"/>
          <w:szCs w:val="12"/>
          <w:color w:val="auto"/>
        </w:rPr>
      </w:pPr>
      <w:r>
        <w:rPr>
          <w:rFonts w:ascii="Arial" w:cs="Arial" w:eastAsia="Arial" w:hAnsi="Arial"/>
          <w:sz w:val="12"/>
          <w:szCs w:val="12"/>
          <w:color w:val="auto"/>
        </w:rPr>
        <w:t>Performance Surfaces Segment net sales were $198.0 million compared to $122.1 million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680656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238" w:lineRule="exact"/>
        <w:rPr>
          <w:sz w:val="20"/>
          <w:szCs w:val="20"/>
          <w:color w:val="auto"/>
        </w:rPr>
      </w:pPr>
    </w:p>
    <w:p>
      <w:pPr>
        <w:ind w:left="8"/>
        <w:spacing w:after="0"/>
        <w:tabs>
          <w:tab w:leader="none" w:pos="2568" w:val="left"/>
          <w:tab w:leader="none" w:pos="2728" w:val="left"/>
        </w:tabs>
        <w:rPr>
          <w:sz w:val="20"/>
          <w:szCs w:val="20"/>
          <w:color w:val="auto"/>
        </w:rPr>
      </w:pPr>
      <w:r>
        <w:rPr>
          <w:rFonts w:ascii="Arial" w:cs="Arial" w:eastAsia="Arial" w:hAnsi="Arial"/>
          <w:sz w:val="12"/>
          <w:szCs w:val="12"/>
          <w:color w:val="auto"/>
        </w:rPr>
        <w:t>Operating Income and Margin</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Operating income declined to $84.5 million from $118.1 million, and operating margin decreased by 270 basis points to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80656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(1)</w:t>
      </w:r>
    </w:p>
    <w:p>
      <w:pPr>
        <w:ind w:left="2748" w:hanging="162"/>
        <w:spacing w:after="0"/>
        <w:tabs>
          <w:tab w:leader="none" w:pos="2748"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Consolidated adjusted EBITDA was $167.3 million compared to $192.7 million in fiscal 2025.</w:t>
      </w:r>
    </w:p>
    <w:p>
      <w:pPr>
        <w:spacing w:after="0" w:line="138" w:lineRule="exact"/>
        <w:rPr>
          <w:rFonts w:ascii="Arial" w:cs="Arial" w:eastAsia="Arial" w:hAnsi="Arial"/>
          <w:sz w:val="12"/>
          <w:szCs w:val="12"/>
          <w:color w:val="auto"/>
        </w:rPr>
      </w:pPr>
    </w:p>
    <w:p>
      <w:pPr>
        <w:ind w:left="2748" w:hanging="162"/>
        <w:spacing w:after="0"/>
        <w:tabs>
          <w:tab w:leader="none" w:pos="2748" w:val="left"/>
        </w:tabs>
        <w:numPr>
          <w:ilvl w:val="0"/>
          <w:numId w:val="9"/>
        </w:numPr>
        <w:rPr>
          <w:rFonts w:ascii="Arial" w:cs="Arial" w:eastAsia="Arial" w:hAnsi="Arial"/>
          <w:sz w:val="12"/>
          <w:szCs w:val="12"/>
          <w:color w:val="auto"/>
        </w:rPr>
      </w:pPr>
      <w:r>
        <w:rPr>
          <w:rFonts w:ascii="Arial" w:cs="Arial" w:eastAsia="Arial" w:hAnsi="Arial"/>
          <w:sz w:val="12"/>
          <w:szCs w:val="12"/>
          <w:color w:val="auto"/>
        </w:rPr>
        <w:t>Architectural Metals Segment adjusted EBITDA was $54.1 million compared to $70.6 million in fiscal 2025.</w:t>
      </w:r>
    </w:p>
    <w:p>
      <w:pPr>
        <w:spacing w:after="0" w:line="150" w:lineRule="exact"/>
        <w:rPr>
          <w:rFonts w:ascii="Arial" w:cs="Arial" w:eastAsia="Arial" w:hAnsi="Arial"/>
          <w:sz w:val="12"/>
          <w:szCs w:val="12"/>
          <w:color w:val="auto"/>
        </w:rPr>
      </w:pPr>
    </w:p>
    <w:p>
      <w:pPr>
        <w:ind w:left="2748" w:hanging="162"/>
        <w:spacing w:after="0"/>
        <w:tabs>
          <w:tab w:leader="none" w:pos="2748" w:val="left"/>
        </w:tabs>
        <w:numPr>
          <w:ilvl w:val="0"/>
          <w:numId w:val="9"/>
        </w:numPr>
        <w:rPr>
          <w:rFonts w:ascii="Arial" w:cs="Arial" w:eastAsia="Arial" w:hAnsi="Arial"/>
          <w:sz w:val="12"/>
          <w:szCs w:val="12"/>
          <w:color w:val="auto"/>
        </w:rPr>
      </w:pPr>
      <w:r>
        <w:rPr>
          <w:rFonts w:ascii="Arial" w:cs="Arial" w:eastAsia="Arial" w:hAnsi="Arial"/>
          <w:sz w:val="12"/>
          <w:szCs w:val="12"/>
          <w:color w:val="auto"/>
        </w:rPr>
        <w:t>Architectural Services Segment adjusted EBITDA was $30.9 million compared to $33.5 million in fiscal 2025.</w:t>
      </w:r>
    </w:p>
    <w:p>
      <w:pPr>
        <w:spacing w:after="0" w:line="150" w:lineRule="exact"/>
        <w:rPr>
          <w:rFonts w:ascii="Arial" w:cs="Arial" w:eastAsia="Arial" w:hAnsi="Arial"/>
          <w:sz w:val="12"/>
          <w:szCs w:val="12"/>
          <w:color w:val="auto"/>
        </w:rPr>
      </w:pPr>
    </w:p>
    <w:p>
      <w:pPr>
        <w:ind w:left="2748" w:hanging="162"/>
        <w:spacing w:after="0"/>
        <w:tabs>
          <w:tab w:leader="none" w:pos="2748" w:val="left"/>
        </w:tabs>
        <w:numPr>
          <w:ilvl w:val="0"/>
          <w:numId w:val="9"/>
        </w:numPr>
        <w:rPr>
          <w:rFonts w:ascii="Arial" w:cs="Arial" w:eastAsia="Arial" w:hAnsi="Arial"/>
          <w:sz w:val="12"/>
          <w:szCs w:val="12"/>
          <w:color w:val="auto"/>
        </w:rPr>
      </w:pPr>
      <w:r>
        <w:rPr>
          <w:rFonts w:ascii="Arial" w:cs="Arial" w:eastAsia="Arial" w:hAnsi="Arial"/>
          <w:sz w:val="12"/>
          <w:szCs w:val="12"/>
          <w:color w:val="auto"/>
        </w:rPr>
        <w:t>Architectural Glass Segment adjusted EBITDA was $45.7 million compared to $71.7 million in fiscal 2025.</w:t>
      </w:r>
    </w:p>
    <w:p>
      <w:pPr>
        <w:spacing w:after="0" w:line="150" w:lineRule="exact"/>
        <w:rPr>
          <w:rFonts w:ascii="Arial" w:cs="Arial" w:eastAsia="Arial" w:hAnsi="Arial"/>
          <w:sz w:val="12"/>
          <w:szCs w:val="12"/>
          <w:color w:val="auto"/>
        </w:rPr>
      </w:pPr>
    </w:p>
    <w:p>
      <w:pPr>
        <w:ind w:left="2748" w:hanging="162"/>
        <w:spacing w:after="0"/>
        <w:tabs>
          <w:tab w:leader="none" w:pos="2748" w:val="left"/>
        </w:tabs>
        <w:numPr>
          <w:ilvl w:val="0"/>
          <w:numId w:val="9"/>
        </w:numPr>
        <w:rPr>
          <w:rFonts w:ascii="Arial" w:cs="Arial" w:eastAsia="Arial" w:hAnsi="Arial"/>
          <w:sz w:val="12"/>
          <w:szCs w:val="12"/>
          <w:color w:val="auto"/>
        </w:rPr>
      </w:pPr>
      <w:r>
        <w:rPr>
          <w:rFonts w:ascii="Arial" w:cs="Arial" w:eastAsia="Arial" w:hAnsi="Arial"/>
          <w:sz w:val="12"/>
          <w:szCs w:val="12"/>
          <w:color w:val="auto"/>
        </w:rPr>
        <w:t>Performance Surfaces Segment adjusted EBITDA was $41.6 million compared to $30.9 million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412115</wp:posOffset>
            </wp:positionV>
            <wp:extent cx="680656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
        <w:spacing w:after="0"/>
        <w:rPr>
          <w:sz w:val="20"/>
          <w:szCs w:val="20"/>
          <w:color w:val="auto"/>
        </w:rPr>
      </w:pPr>
      <w:r>
        <w:rPr>
          <w:rFonts w:ascii="Arial" w:cs="Arial" w:eastAsia="Arial" w:hAnsi="Arial"/>
          <w:sz w:val="12"/>
          <w:szCs w:val="12"/>
          <w:color w:val="auto"/>
        </w:rPr>
        <w:t>Earnings per Share ("EPS")</w:t>
      </w:r>
    </w:p>
    <w:p>
      <w:pPr>
        <w:spacing w:after="0" w:line="18" w:lineRule="exact"/>
        <w:rPr>
          <w:sz w:val="20"/>
          <w:szCs w:val="20"/>
          <w:color w:val="auto"/>
        </w:rPr>
      </w:pPr>
    </w:p>
    <w:p>
      <w:pPr>
        <w:ind w:left="2588"/>
        <w:spacing w:after="0"/>
        <w:tabs>
          <w:tab w:leader="none" w:pos="272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Diluted earnings per share of $2.52 compared to $3.89 in fiscal 2025. Adjusted diluted EPS declined to $3.47 from $4.97.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80656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Cash Flow</w:t>
      </w:r>
    </w:p>
    <w:p>
      <w:pPr>
        <w:spacing w:after="0" w:line="18" w:lineRule="exact"/>
        <w:rPr>
          <w:sz w:val="20"/>
          <w:szCs w:val="20"/>
          <w:color w:val="auto"/>
        </w:rPr>
      </w:pPr>
    </w:p>
    <w:p>
      <w:pPr>
        <w:jc w:val="center"/>
        <w:ind w:right="-207"/>
        <w:spacing w:after="0"/>
        <w:tabs>
          <w:tab w:leader="none" w:pos="1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Net cash provided by operating activities in fiscal 2026 was $122.5 million, compared to $125.2 million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8065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226" w:lineRule="exact"/>
        <w:rPr>
          <w:sz w:val="20"/>
          <w:szCs w:val="20"/>
          <w:color w:val="auto"/>
        </w:rPr>
      </w:pPr>
    </w:p>
    <w:p>
      <w:pPr>
        <w:ind w:left="8"/>
        <w:spacing w:after="0"/>
        <w:tabs>
          <w:tab w:leader="none" w:pos="2568" w:val="left"/>
          <w:tab w:leader="none" w:pos="2728" w:val="left"/>
        </w:tabs>
        <w:rPr>
          <w:sz w:val="20"/>
          <w:szCs w:val="20"/>
          <w:color w:val="auto"/>
        </w:rPr>
      </w:pPr>
      <w:r>
        <w:rPr>
          <w:rFonts w:ascii="Arial" w:cs="Arial" w:eastAsia="Arial" w:hAnsi="Arial"/>
          <w:sz w:val="12"/>
          <w:szCs w:val="12"/>
          <w:color w:val="auto"/>
        </w:rPr>
        <w:t>Shareholder Return</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We repurchased 388,582 shares of our common stock during fiscal 2026 at a total cost of $15.0 million.</w:t>
      </w:r>
    </w:p>
    <w:p>
      <w:pPr>
        <w:spacing w:after="0" w:line="150" w:lineRule="exact"/>
        <w:rPr>
          <w:sz w:val="20"/>
          <w:szCs w:val="20"/>
          <w:color w:val="auto"/>
        </w:rPr>
      </w:pPr>
    </w:p>
    <w:p>
      <w:pPr>
        <w:ind w:left="2748" w:right="600" w:hanging="162"/>
        <w:spacing w:after="0" w:line="286" w:lineRule="auto"/>
        <w:tabs>
          <w:tab w:leader="none" w:pos="2745"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paid dividends totaling $22.2 million during fiscal 2026 and increased our quarterly cash dividend 4% to $0.27 per share during the fourth quarter of fiscal 2026, our thirteenth consecutive year with a dividend increase.</w:t>
      </w:r>
    </w:p>
    <w:p>
      <w:pPr>
        <w:spacing w:after="0" w:line="102" w:lineRule="exact"/>
        <w:rPr>
          <w:rFonts w:ascii="Arial" w:cs="Arial" w:eastAsia="Arial" w:hAnsi="Arial"/>
          <w:sz w:val="12"/>
          <w:szCs w:val="12"/>
          <w:color w:val="auto"/>
        </w:rPr>
      </w:pPr>
    </w:p>
    <w:p>
      <w:pPr>
        <w:ind w:left="2748" w:right="600" w:hanging="162"/>
        <w:spacing w:after="0" w:line="234" w:lineRule="auto"/>
        <w:tabs>
          <w:tab w:leader="none" w:pos="2745"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delivered annualized total shareholder return (TSR)</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of (14.70)%, 3.40% and 2.04% over the past one year, five years and ten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0656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5715"/>
                    </a:xfrm>
                    <a:prstGeom prst="rect">
                      <a:avLst/>
                    </a:prstGeom>
                    <a:noFill/>
                  </pic:spPr>
                </pic:pic>
              </a:graphicData>
            </a:graphic>
          </wp:anchor>
        </w:drawing>
      </w:r>
    </w:p>
    <w:p>
      <w:pPr>
        <w:spacing w:after="0" w:line="13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28" w:hanging="328"/>
        <w:spacing w:after="0" w:line="286" w:lineRule="auto"/>
        <w:tabs>
          <w:tab w:leader="none" w:pos="322"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Beginning in fiscal 2026, the Company transitioned from Operating Income to Adjusted EBITDA as the primary metric of operating performance for our short-term cash incentive program. Adjusted EBITDA is a non-GAAP financial measure. See "Use of Non-GAAP Financial Measures" on page </w:t>
      </w:r>
      <w:r>
        <w:rPr>
          <w:rFonts w:ascii="Arial" w:cs="Arial" w:eastAsia="Arial" w:hAnsi="Arial"/>
          <w:sz w:val="12"/>
          <w:szCs w:val="12"/>
          <w:u w:val="single" w:color="auto"/>
          <w:color w:val="0000FF"/>
        </w:rPr>
        <w:t>36</w:t>
      </w:r>
      <w:r>
        <w:rPr>
          <w:rFonts w:ascii="Arial" w:cs="Arial" w:eastAsia="Arial" w:hAnsi="Arial"/>
          <w:sz w:val="12"/>
          <w:szCs w:val="12"/>
          <w:color w:val="auto"/>
        </w:rPr>
        <w:t>.</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TSR is the cumulative return on a share of Apogee common stock over the specified period, assuming reinvestment of dividends, calculated as a percentage change in stock price plus dividends paid.</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7" w:right="29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05445E"/>
        </w:rPr>
        <w:t>Executive Compensation Program</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compensation programs are designed to attract, motivate and retain executive talent to achieve success in both the short- and long-term for our Company; pay for sustainable performance in an ever-changing environment; and align the interests of our executive officers with our shareholders. We continue to refine our executive compensation program to reflect changes in our business strategy and evolving executive compensation practices.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Executive Compensation Highlights</w:t>
      </w:r>
    </w:p>
    <w:p>
      <w:pPr>
        <w:spacing w:after="0" w:line="148" w:lineRule="exact"/>
        <w:rPr>
          <w:sz w:val="20"/>
          <w:szCs w:val="20"/>
          <w:color w:val="auto"/>
        </w:rPr>
      </w:pPr>
    </w:p>
    <w:p>
      <w:pPr>
        <w:ind w:left="640" w:hanging="216"/>
        <w:spacing w:after="0" w:line="286" w:lineRule="auto"/>
        <w:tabs>
          <w:tab w:leader="none" w:pos="637"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Our compensation program prioritizes pay for performance. A significant portion of our compensation program is at risk and performance-based, through the use of short- and long-term incentive plans that have multiple financial performance metrics.</w:t>
      </w:r>
    </w:p>
    <w:p>
      <w:pPr>
        <w:spacing w:after="0" w:line="103" w:lineRule="exact"/>
        <w:rPr>
          <w:rFonts w:ascii="Arial" w:cs="Arial" w:eastAsia="Arial" w:hAnsi="Arial"/>
          <w:sz w:val="12"/>
          <w:szCs w:val="12"/>
          <w:b w:val="1"/>
          <w:bCs w:val="1"/>
          <w:color w:val="05445E"/>
        </w:rPr>
      </w:pPr>
    </w:p>
    <w:p>
      <w:pPr>
        <w:ind w:left="640" w:hanging="216"/>
        <w:spacing w:after="0"/>
        <w:tabs>
          <w:tab w:leader="none" w:pos="640"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We annually disclose Company performance against the established performance metrics for our short-term cash incentive in our proxy statement.</w:t>
      </w:r>
    </w:p>
    <w:p>
      <w:pPr>
        <w:spacing w:after="0" w:line="150" w:lineRule="exact"/>
        <w:rPr>
          <w:rFonts w:ascii="Arial" w:cs="Arial" w:eastAsia="Arial" w:hAnsi="Arial"/>
          <w:sz w:val="12"/>
          <w:szCs w:val="12"/>
          <w:b w:val="1"/>
          <w:bCs w:val="1"/>
          <w:color w:val="05445E"/>
        </w:rPr>
      </w:pPr>
    </w:p>
    <w:p>
      <w:pPr>
        <w:jc w:val="both"/>
        <w:ind w:left="640" w:hanging="216"/>
        <w:spacing w:after="0" w:line="262" w:lineRule="auto"/>
        <w:tabs>
          <w:tab w:leader="none" w:pos="637"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 xml:space="preserve">Our long-term incentive compensation program consists of annual restricted stock awards that vest over three years and annual performance awards with overlapping three-year performance periods that vest at the end of the performance period. Performance awards are based 60% on our three-year cumulative adjusted diluted earnings per share ("Adjusted Diluted EPS") and 40% on our three-year average adjusted return on invested capital (“Adjusted ROIC”) over the performance period and settle 50% in shares and 50% in cash. (Adjusted Diluted EPS and Adjusted ROIC are non-GAAP financial measures. See "Use of Non-GAAP Financial Measures" on page </w:t>
      </w:r>
      <w:r>
        <w:rPr>
          <w:rFonts w:ascii="Arial" w:cs="Arial" w:eastAsia="Arial" w:hAnsi="Arial"/>
          <w:sz w:val="12"/>
          <w:szCs w:val="12"/>
          <w:u w:val="single" w:color="auto"/>
          <w:color w:val="0000FF"/>
        </w:rPr>
        <w:t>36</w:t>
      </w:r>
      <w:r>
        <w:rPr>
          <w:rFonts w:ascii="Arial" w:cs="Arial" w:eastAsia="Arial" w:hAnsi="Arial"/>
          <w:sz w:val="12"/>
          <w:szCs w:val="12"/>
          <w:color w:val="auto"/>
        </w:rPr>
        <w:t>.)</w:t>
      </w:r>
    </w:p>
    <w:p>
      <w:pPr>
        <w:spacing w:after="0" w:line="117" w:lineRule="exact"/>
        <w:rPr>
          <w:rFonts w:ascii="Arial" w:cs="Arial" w:eastAsia="Arial" w:hAnsi="Arial"/>
          <w:sz w:val="12"/>
          <w:szCs w:val="12"/>
          <w:b w:val="1"/>
          <w:bCs w:val="1"/>
          <w:color w:val="05445E"/>
        </w:rPr>
      </w:pPr>
    </w:p>
    <w:p>
      <w:pPr>
        <w:ind w:left="640" w:hanging="216"/>
        <w:spacing w:after="0"/>
        <w:tabs>
          <w:tab w:leader="none" w:pos="640"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We deliver a significant portion of potential total compensation to our executive officers in the form of equity, which enhances our executives' alignment with shareholders.</w:t>
      </w:r>
    </w:p>
    <w:p>
      <w:pPr>
        <w:spacing w:after="0" w:line="150" w:lineRule="exact"/>
        <w:rPr>
          <w:rFonts w:ascii="Arial" w:cs="Arial" w:eastAsia="Arial" w:hAnsi="Arial"/>
          <w:sz w:val="12"/>
          <w:szCs w:val="12"/>
          <w:b w:val="1"/>
          <w:bCs w:val="1"/>
          <w:color w:val="05445E"/>
        </w:rPr>
      </w:pPr>
    </w:p>
    <w:p>
      <w:pPr>
        <w:ind w:left="640" w:right="20" w:hanging="216"/>
        <w:spacing w:after="0" w:line="286" w:lineRule="auto"/>
        <w:tabs>
          <w:tab w:leader="none" w:pos="637"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We have stock ownership guidelines for our Chief Executive Officer that require an ownership level of five times their annual base salary, three times their annual salary for our Chief Financial Officer, two times their annual salaries for certain corporate executive officers, including segment presidents, and one time their annual salaries for other corporate executives.</w:t>
      </w:r>
    </w:p>
    <w:p>
      <w:pPr>
        <w:spacing w:after="0" w:line="103" w:lineRule="exact"/>
        <w:rPr>
          <w:rFonts w:ascii="Arial" w:cs="Arial" w:eastAsia="Arial" w:hAnsi="Arial"/>
          <w:sz w:val="12"/>
          <w:szCs w:val="12"/>
          <w:b w:val="1"/>
          <w:bCs w:val="1"/>
          <w:color w:val="05445E"/>
        </w:rPr>
      </w:pPr>
    </w:p>
    <w:p>
      <w:pPr>
        <w:ind w:left="640" w:hanging="216"/>
        <w:spacing w:after="0"/>
        <w:tabs>
          <w:tab w:leader="none" w:pos="640"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We have compensation recoupment, or “clawback” policies that we amended in 2023 to comply with the incentive compensation recovery rules adopted by the SEC and Nasdaq.</w:t>
      </w:r>
    </w:p>
    <w:p>
      <w:pPr>
        <w:spacing w:after="0" w:line="150" w:lineRule="exact"/>
        <w:rPr>
          <w:rFonts w:ascii="Arial" w:cs="Arial" w:eastAsia="Arial" w:hAnsi="Arial"/>
          <w:sz w:val="12"/>
          <w:szCs w:val="12"/>
          <w:b w:val="1"/>
          <w:bCs w:val="1"/>
          <w:color w:val="05445E"/>
        </w:rPr>
      </w:pPr>
    </w:p>
    <w:p>
      <w:pPr>
        <w:jc w:val="both"/>
        <w:ind w:left="640" w:hanging="216"/>
        <w:spacing w:after="0" w:line="268" w:lineRule="auto"/>
        <w:tabs>
          <w:tab w:leader="none" w:pos="637"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We have a hedging policy that prohibits all employees and directors from engaging in hedging transactions in our Company’s securities. We also have an anti-pledging policy that prohibits executive officers and directors of the Company from, directly or indirectly, pledging, hypothecating, or otherwise encumbering shares of the Company’s common stock as collateral for indebtedness. None of our executive officers have pledged any shares of our common stock as security or collateral on a personal loan.</w:t>
      </w:r>
    </w:p>
    <w:p>
      <w:pPr>
        <w:spacing w:after="0" w:line="113" w:lineRule="exact"/>
        <w:rPr>
          <w:rFonts w:ascii="Arial" w:cs="Arial" w:eastAsia="Arial" w:hAnsi="Arial"/>
          <w:sz w:val="12"/>
          <w:szCs w:val="12"/>
          <w:b w:val="1"/>
          <w:bCs w:val="1"/>
          <w:color w:val="05445E"/>
        </w:rPr>
      </w:pPr>
    </w:p>
    <w:p>
      <w:pPr>
        <w:ind w:left="640" w:hanging="216"/>
        <w:spacing w:after="0"/>
        <w:tabs>
          <w:tab w:leader="none" w:pos="640" w:val="left"/>
        </w:tabs>
        <w:numPr>
          <w:ilvl w:val="0"/>
          <w:numId w:val="12"/>
        </w:numPr>
        <w:rPr>
          <w:rFonts w:ascii="Arial" w:cs="Arial" w:eastAsia="Arial" w:hAnsi="Arial"/>
          <w:sz w:val="12"/>
          <w:szCs w:val="12"/>
          <w:b w:val="1"/>
          <w:bCs w:val="1"/>
          <w:color w:val="05445E"/>
        </w:rPr>
      </w:pPr>
      <w:r>
        <w:rPr>
          <w:rFonts w:ascii="Arial" w:cs="Arial" w:eastAsia="Arial" w:hAnsi="Arial"/>
          <w:sz w:val="12"/>
          <w:szCs w:val="12"/>
          <w:color w:val="auto"/>
        </w:rPr>
        <w:t>Our “double-trigger” change-in-control agreements do not provide for any excise tax “gross-ups,” and we do not provide any tax “gross-ups” on any benefits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9"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Fiscal 2026 Executive Compensation Actions</w:t>
      </w:r>
    </w:p>
    <w:p>
      <w:pPr>
        <w:spacing w:after="0" w:line="148" w:lineRule="exact"/>
        <w:rPr>
          <w:sz w:val="20"/>
          <w:szCs w:val="20"/>
          <w:color w:val="auto"/>
        </w:rPr>
      </w:pPr>
    </w:p>
    <w:p>
      <w:pPr>
        <w:jc w:val="both"/>
        <w:ind w:left="220" w:hanging="216"/>
        <w:spacing w:after="0" w:line="257" w:lineRule="auto"/>
        <w:tabs>
          <w:tab w:leader="none" w:pos="217" w:val="left"/>
        </w:tabs>
        <w:numPr>
          <w:ilvl w:val="0"/>
          <w:numId w:val="13"/>
        </w:numPr>
        <w:rPr>
          <w:rFonts w:ascii="Arial" w:cs="Arial" w:eastAsia="Arial" w:hAnsi="Arial"/>
          <w:sz w:val="12"/>
          <w:szCs w:val="12"/>
          <w:b w:val="1"/>
          <w:bCs w:val="1"/>
          <w:color w:val="05445E"/>
        </w:rPr>
      </w:pPr>
      <w:r>
        <w:rPr>
          <w:rFonts w:ascii="Arial" w:cs="Arial" w:eastAsia="Arial" w:hAnsi="Arial"/>
          <w:sz w:val="12"/>
          <w:szCs w:val="12"/>
          <w:u w:val="single" w:color="auto"/>
          <w:color w:val="auto"/>
        </w:rPr>
        <w:t>Base Salaries</w:t>
      </w:r>
      <w:r>
        <w:rPr>
          <w:rFonts w:ascii="Arial" w:cs="Arial" w:eastAsia="Arial" w:hAnsi="Arial"/>
          <w:sz w:val="12"/>
          <w:szCs w:val="12"/>
          <w:color w:val="auto"/>
        </w:rPr>
        <w:t xml:space="preserve">. Mr. Nolan, the former Independent Chair of our Board of Directors, was appointed Chief Executive Officer and Executive Chair of the Board of Directors effective as of the close of business on October 31, 2025, earning an annualized base salary of $925,000, which is described more fully under "New Chief Executive Officer Offer Letter" beginning on page </w:t>
      </w:r>
      <w:r>
        <w:rPr>
          <w:rFonts w:ascii="Arial" w:cs="Arial" w:eastAsia="Arial" w:hAnsi="Arial"/>
          <w:sz w:val="12"/>
          <w:szCs w:val="12"/>
          <w:u w:val="single" w:color="auto"/>
          <w:color w:val="0000FF"/>
        </w:rPr>
        <w:t>5</w:t>
      </w:r>
      <w:r>
        <w:rPr>
          <w:rFonts w:ascii="Arial" w:cs="Arial" w:eastAsia="Arial" w:hAnsi="Arial"/>
          <w:sz w:val="12"/>
          <w:szCs w:val="12"/>
          <w:color w:val="auto"/>
        </w:rPr>
        <w:t xml:space="preserve">. Mr. Augdahl was appointed as our Executive Vice President and Chief Financial Officer effective January 19, 2026, earning an annualized base salary of $550,000, which is described more fully under "New Chief Financial Officer Offer Letter" on page </w:t>
      </w:r>
      <w:r>
        <w:rPr>
          <w:rFonts w:ascii="Arial" w:cs="Arial" w:eastAsia="Arial" w:hAnsi="Arial"/>
          <w:sz w:val="12"/>
          <w:szCs w:val="12"/>
          <w:u w:val="single" w:color="auto"/>
          <w:color w:val="0000FF"/>
        </w:rPr>
        <w:t>6</w:t>
      </w:r>
      <w:r>
        <w:rPr>
          <w:rFonts w:ascii="Arial" w:cs="Arial" w:eastAsia="Arial" w:hAnsi="Arial"/>
          <w:sz w:val="12"/>
          <w:szCs w:val="12"/>
          <w:color w:val="auto"/>
        </w:rPr>
        <w:t xml:space="preserve">. For returning Named Executive Officers, base salary increases ranged from 1.76% to 4.02% except for Mr. T. Johnson who received an 18.00% increase for his reassignment to the position of President, Architectural Metals Segment, effective August 7, 2025. See “Fiscal 2026 Individual Compensation Actions” beginning on page </w:t>
      </w:r>
      <w:r>
        <w:rPr>
          <w:rFonts w:ascii="Arial" w:cs="Arial" w:eastAsia="Arial" w:hAnsi="Arial"/>
          <w:sz w:val="12"/>
          <w:szCs w:val="12"/>
          <w:u w:val="single" w:color="auto"/>
          <w:color w:val="0000FF"/>
        </w:rPr>
        <w:t>42</w:t>
      </w:r>
      <w:r>
        <w:rPr>
          <w:rFonts w:ascii="Arial" w:cs="Arial" w:eastAsia="Arial" w:hAnsi="Arial"/>
          <w:sz w:val="12"/>
          <w:szCs w:val="12"/>
          <w:color w:val="auto"/>
        </w:rPr>
        <w:t xml:space="preserve"> for a discussion of factors considered in establishing base salaries and subsequent increases.</w:t>
      </w:r>
    </w:p>
    <w:p>
      <w:pPr>
        <w:spacing w:after="0" w:line="121" w:lineRule="exact"/>
        <w:rPr>
          <w:rFonts w:ascii="Arial" w:cs="Arial" w:eastAsia="Arial" w:hAnsi="Arial"/>
          <w:sz w:val="12"/>
          <w:szCs w:val="12"/>
          <w:b w:val="1"/>
          <w:bCs w:val="1"/>
          <w:color w:val="05445E"/>
        </w:rPr>
      </w:pPr>
    </w:p>
    <w:p>
      <w:pPr>
        <w:jc w:val="both"/>
        <w:ind w:left="220" w:hanging="216"/>
        <w:spacing w:after="0" w:line="255" w:lineRule="auto"/>
        <w:tabs>
          <w:tab w:leader="none" w:pos="217" w:val="left"/>
        </w:tabs>
        <w:numPr>
          <w:ilvl w:val="0"/>
          <w:numId w:val="13"/>
        </w:numPr>
        <w:rPr>
          <w:rFonts w:ascii="Arial" w:cs="Arial" w:eastAsia="Arial" w:hAnsi="Arial"/>
          <w:sz w:val="12"/>
          <w:szCs w:val="12"/>
          <w:b w:val="1"/>
          <w:bCs w:val="1"/>
          <w:color w:val="05445E"/>
        </w:rPr>
      </w:pPr>
      <w:r>
        <w:rPr>
          <w:rFonts w:ascii="Arial" w:cs="Arial" w:eastAsia="Arial" w:hAnsi="Arial"/>
          <w:sz w:val="12"/>
          <w:szCs w:val="12"/>
          <w:u w:val="single" w:color="auto"/>
          <w:color w:val="auto"/>
        </w:rPr>
        <w:t>Short-Term Cash Incentive Payouts</w:t>
      </w:r>
      <w:r>
        <w:rPr>
          <w:rFonts w:ascii="Arial" w:cs="Arial" w:eastAsia="Arial" w:hAnsi="Arial"/>
          <w:sz w:val="12"/>
          <w:szCs w:val="12"/>
          <w:color w:val="auto"/>
        </w:rPr>
        <w:t xml:space="preserve">. Our short-term cash incentive awards are designed to reward achievement of financial goals established in our annual operating plan. Mr. Nolan has a short-term cash incentive plan that pays out based on his performance during the Term of the CEO Offer Letter, as described under "Nolan Short-Term Cash Incentive Plan" beginning on page </w:t>
      </w:r>
      <w:r>
        <w:rPr>
          <w:rFonts w:ascii="Arial" w:cs="Arial" w:eastAsia="Arial" w:hAnsi="Arial"/>
          <w:sz w:val="12"/>
          <w:szCs w:val="12"/>
          <w:u w:val="single" w:color="auto"/>
          <w:color w:val="0000FF"/>
        </w:rPr>
        <w:t>46</w:t>
      </w:r>
      <w:r>
        <w:rPr>
          <w:rFonts w:ascii="Arial" w:cs="Arial" w:eastAsia="Arial" w:hAnsi="Arial"/>
          <w:sz w:val="12"/>
          <w:szCs w:val="12"/>
          <w:color w:val="auto"/>
        </w:rPr>
        <w:t xml:space="preserve">. Mr. Silberhorn, our former Chief Executive Officer, received a short-term cash incentive payout equal to 50% ($466,000) of the target pursuant to the terms of his Separation Agreement. For Mr. Augdahl, whose payout was based on consolidated performance metrics, the fiscal 2026 short-term cash incentive paid out at 21.17% of target. For Messrs. T. Johnson and Jewell and Ms. Lakkundi, whose payouts were based on segment as well as consolidated performance metrics, the fiscal 2026 short-term cash incentive paid out at 100% for Mr. T. Johnson, which was guaranteed for fiscal 2026 and fiscal 2027, and at 0% and 58.25% of target for Mr. Jewell and Ms. Lakkundi, respectively. </w:t>
      </w:r>
      <w:r>
        <w:rPr>
          <w:rFonts w:ascii="Arial" w:cs="Arial" w:eastAsia="Arial" w:hAnsi="Arial"/>
          <w:sz w:val="12"/>
          <w:szCs w:val="12"/>
          <w:color w:val="0A0A0A"/>
        </w:rPr>
        <w:t>For Mr. Osberg, the fiscal 2026 short-term incentive plan was forfeited as a result of his resignation from the Company.</w:t>
      </w:r>
      <w:r>
        <w:rPr>
          <w:rFonts w:ascii="Arial" w:cs="Arial" w:eastAsia="Arial" w:hAnsi="Arial"/>
          <w:sz w:val="12"/>
          <w:szCs w:val="12"/>
          <w:color w:val="auto"/>
        </w:rPr>
        <w:t xml:space="preserve"> See “Fiscal 2026 Short-Term Cash Incentive Payouts” beginning on page </w:t>
      </w:r>
      <w:r>
        <w:rPr>
          <w:rFonts w:ascii="Arial" w:cs="Arial" w:eastAsia="Arial" w:hAnsi="Arial"/>
          <w:sz w:val="12"/>
          <w:szCs w:val="12"/>
          <w:u w:val="single" w:color="auto"/>
          <w:color w:val="0000FF"/>
        </w:rPr>
        <w:t>43</w:t>
      </w:r>
      <w:r>
        <w:rPr>
          <w:rFonts w:ascii="Arial" w:cs="Arial" w:eastAsia="Arial" w:hAnsi="Arial"/>
          <w:sz w:val="12"/>
          <w:szCs w:val="12"/>
          <w:color w:val="auto"/>
        </w:rPr>
        <w:t xml:space="preserve"> for a discussion of the metrics, goals and amounts paid to our Named Executive Officers for our short-term cash incentive awards in fiscal 2026.</w:t>
      </w:r>
    </w:p>
    <w:p>
      <w:pPr>
        <w:spacing w:after="0" w:line="123" w:lineRule="exact"/>
        <w:rPr>
          <w:rFonts w:ascii="Arial" w:cs="Arial" w:eastAsia="Arial" w:hAnsi="Arial"/>
          <w:sz w:val="12"/>
          <w:szCs w:val="12"/>
          <w:b w:val="1"/>
          <w:bCs w:val="1"/>
          <w:color w:val="05445E"/>
        </w:rPr>
      </w:pPr>
    </w:p>
    <w:p>
      <w:pPr>
        <w:jc w:val="both"/>
        <w:ind w:left="220" w:hanging="216"/>
        <w:spacing w:after="0" w:line="255" w:lineRule="auto"/>
        <w:tabs>
          <w:tab w:leader="none" w:pos="217" w:val="left"/>
        </w:tabs>
        <w:numPr>
          <w:ilvl w:val="0"/>
          <w:numId w:val="13"/>
        </w:numPr>
        <w:rPr>
          <w:rFonts w:ascii="Arial" w:cs="Arial" w:eastAsia="Arial" w:hAnsi="Arial"/>
          <w:sz w:val="12"/>
          <w:szCs w:val="12"/>
          <w:b w:val="1"/>
          <w:bCs w:val="1"/>
          <w:color w:val="05445E"/>
        </w:rPr>
      </w:pPr>
      <w:r>
        <w:rPr>
          <w:rFonts w:ascii="Arial" w:cs="Arial" w:eastAsia="Arial" w:hAnsi="Arial"/>
          <w:sz w:val="12"/>
          <w:szCs w:val="12"/>
          <w:u w:val="single" w:color="auto"/>
          <w:color w:val="auto"/>
        </w:rPr>
        <w:t>Long-Term Incentive Awards</w:t>
      </w:r>
      <w:r>
        <w:rPr>
          <w:rFonts w:ascii="Arial" w:cs="Arial" w:eastAsia="Arial" w:hAnsi="Arial"/>
          <w:sz w:val="12"/>
          <w:szCs w:val="12"/>
          <w:color w:val="auto"/>
        </w:rPr>
        <w:t xml:space="preserve">. Mr. Nolan received a Service Award in connection with his appointment as Chief Executive Officer and Executive Chair, which is more fully described under "New Chief Executive Officer Offer Letter" beginning on page </w:t>
      </w:r>
      <w:r>
        <w:rPr>
          <w:rFonts w:ascii="Arial" w:cs="Arial" w:eastAsia="Arial" w:hAnsi="Arial"/>
          <w:sz w:val="12"/>
          <w:szCs w:val="12"/>
          <w:u w:val="single" w:color="auto"/>
          <w:color w:val="0000FF"/>
        </w:rPr>
        <w:t>5</w:t>
      </w:r>
      <w:r>
        <w:rPr>
          <w:rFonts w:ascii="Arial" w:cs="Arial" w:eastAsia="Arial" w:hAnsi="Arial"/>
          <w:sz w:val="12"/>
          <w:szCs w:val="12"/>
          <w:color w:val="auto"/>
        </w:rPr>
        <w:t xml:space="preserve">. Mr. Silberhorn's long-term incentive awards in fiscal 2026 consisted of 40% time-based restricted stock valued at $1,304,811 and 60% as a performance award with a target payout of $1,957,208, and with terms consistent with those provided to the Other Named Executive Officers. Our long-term incentive program for our Other Named Executive Officers is comprised of: (i) 50% time-based restricted stock awards that vest ratably over three years; and (ii) 50% performance awards with a three-year performance period, which settle 50% in cash and 50% in stock and are paid out at the end of the period based on the Company’s cumulative Adjusted Diluted EPS and average Adjusted ROIC over the three-year performance period. We added Adjusted Diluted EPS as a metric in fiscal 2025 in order to diversify and balance our performance metrics, incentivizing earnings growth as well as return on invested capital. The Other Named Executive Officers received restricted stock awards with values ranging from $877,797 to $1,211,659 and performance awards with target values ranging from $176,505 to $503,995. See “Long-Term Incentive Compensation” beginning on page </w:t>
      </w:r>
      <w:r>
        <w:rPr>
          <w:rFonts w:ascii="Arial" w:cs="Arial" w:eastAsia="Arial" w:hAnsi="Arial"/>
          <w:sz w:val="12"/>
          <w:szCs w:val="12"/>
          <w:u w:val="single" w:color="auto"/>
          <w:color w:val="0000FF"/>
        </w:rPr>
        <w:t>46</w:t>
      </w:r>
      <w:r>
        <w:rPr>
          <w:rFonts w:ascii="Arial" w:cs="Arial" w:eastAsia="Arial" w:hAnsi="Arial"/>
          <w:sz w:val="12"/>
          <w:szCs w:val="12"/>
          <w:color w:val="auto"/>
        </w:rPr>
        <w:t xml:space="preserve"> for additional information about our long-term incentive program and fiscal 2026 awards.</w:t>
      </w:r>
    </w:p>
    <w:p>
      <w:pPr>
        <w:spacing w:after="0" w:line="123" w:lineRule="exact"/>
        <w:rPr>
          <w:rFonts w:ascii="Arial" w:cs="Arial" w:eastAsia="Arial" w:hAnsi="Arial"/>
          <w:sz w:val="12"/>
          <w:szCs w:val="12"/>
          <w:b w:val="1"/>
          <w:bCs w:val="1"/>
          <w:color w:val="05445E"/>
        </w:rPr>
      </w:pPr>
    </w:p>
    <w:p>
      <w:pPr>
        <w:ind w:left="220" w:hanging="216"/>
        <w:spacing w:after="0" w:line="286" w:lineRule="auto"/>
        <w:tabs>
          <w:tab w:leader="none" w:pos="217" w:val="left"/>
        </w:tabs>
        <w:numPr>
          <w:ilvl w:val="0"/>
          <w:numId w:val="13"/>
        </w:numPr>
        <w:rPr>
          <w:rFonts w:ascii="Arial" w:cs="Arial" w:eastAsia="Arial" w:hAnsi="Arial"/>
          <w:sz w:val="12"/>
          <w:szCs w:val="12"/>
          <w:color w:val="auto"/>
        </w:rPr>
      </w:pPr>
      <w:r>
        <w:rPr>
          <w:rFonts w:ascii="Arial" w:cs="Arial" w:eastAsia="Arial" w:hAnsi="Arial"/>
          <w:sz w:val="12"/>
          <w:szCs w:val="12"/>
          <w:u w:val="single" w:color="auto"/>
          <w:color w:val="auto"/>
        </w:rPr>
        <w:t>New Chief Executive Officer Offer Letter</w:t>
      </w:r>
      <w:r>
        <w:rPr>
          <w:rFonts w:ascii="Arial" w:cs="Arial" w:eastAsia="Arial" w:hAnsi="Arial"/>
          <w:sz w:val="12"/>
          <w:szCs w:val="12"/>
          <w:color w:val="auto"/>
        </w:rPr>
        <w:t>. The Company and Mr. Nolan entered into an Offer Letter Agreement (the "CEO Offer Letter") effective as of the close of business on October 31, 2025, with a one-year term ending on October 31, 2026 (the "Term"). Pursuant to the terms of the CEO Offer Letter, Mr. Nolan is entitled to:</w:t>
      </w:r>
    </w:p>
    <w:p>
      <w:pPr>
        <w:spacing w:after="0" w:line="103" w:lineRule="exact"/>
        <w:rPr>
          <w:rFonts w:ascii="Arial" w:cs="Arial" w:eastAsia="Arial" w:hAnsi="Arial"/>
          <w:sz w:val="12"/>
          <w:szCs w:val="12"/>
          <w:color w:val="auto"/>
        </w:rPr>
      </w:pPr>
    </w:p>
    <w:p>
      <w:pPr>
        <w:ind w:left="640" w:hanging="204"/>
        <w:spacing w:after="0"/>
        <w:tabs>
          <w:tab w:leader="none" w:pos="640" w:val="left"/>
        </w:tabs>
        <w:numPr>
          <w:ilvl w:val="1"/>
          <w:numId w:val="13"/>
        </w:numPr>
        <w:rPr>
          <w:rFonts w:ascii="Arial" w:cs="Arial" w:eastAsia="Arial" w:hAnsi="Arial"/>
          <w:sz w:val="12"/>
          <w:szCs w:val="12"/>
          <w:color w:val="auto"/>
        </w:rPr>
      </w:pPr>
      <w:r>
        <w:rPr>
          <w:rFonts w:ascii="Arial" w:cs="Arial" w:eastAsia="Arial" w:hAnsi="Arial"/>
          <w:sz w:val="12"/>
          <w:szCs w:val="12"/>
          <w:color w:val="auto"/>
        </w:rPr>
        <w:t>a base salary of $925,000 and a one-time payment of $100,000 for travel and lodging expenses;</w:t>
      </w:r>
    </w:p>
    <w:p>
      <w:pPr>
        <w:spacing w:after="0" w:line="78" w:lineRule="exact"/>
        <w:rPr>
          <w:rFonts w:ascii="Arial" w:cs="Arial" w:eastAsia="Arial" w:hAnsi="Arial"/>
          <w:sz w:val="12"/>
          <w:szCs w:val="12"/>
          <w:color w:val="auto"/>
        </w:rPr>
      </w:pPr>
    </w:p>
    <w:p>
      <w:pPr>
        <w:jc w:val="both"/>
        <w:ind w:left="660" w:hanging="224"/>
        <w:spacing w:after="0" w:line="262" w:lineRule="auto"/>
        <w:tabs>
          <w:tab w:leader="none" w:pos="657" w:val="left"/>
        </w:tabs>
        <w:numPr>
          <w:ilvl w:val="1"/>
          <w:numId w:val="13"/>
        </w:numPr>
        <w:rPr>
          <w:rFonts w:ascii="Arial" w:cs="Arial" w:eastAsia="Arial" w:hAnsi="Arial"/>
          <w:sz w:val="12"/>
          <w:szCs w:val="12"/>
          <w:color w:val="auto"/>
        </w:rPr>
      </w:pPr>
      <w:r>
        <w:rPr>
          <w:rFonts w:ascii="Arial" w:cs="Arial" w:eastAsia="Arial" w:hAnsi="Arial"/>
          <w:sz w:val="12"/>
          <w:szCs w:val="12"/>
          <w:color w:val="auto"/>
        </w:rPr>
        <w:t xml:space="preserve">$1.75 million of restricted shares, based on the closing price on the grant date (the "Service Award"), that was included in the Stock Awards column for fiscal 2026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The grant date was January 14, 2026 and the vesting date is January 14, 2027. The Service Award is subject to Mr. Nolan's continued employment with the Company for the Term, provided, that if Mr. Nolan's employment ends before the vesting date, the shares will vest as long as Mr. Nolan remains a member of the Board through the vesting date. The CEO Offer Letter further provides that the Service Award is subject</w:t>
      </w: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33655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720" w:top="813" w:right="299" w:bottom="1440" w:gutter="0" w:footer="0" w:header="0"/>
        </w:sectPr>
      </w:pPr>
    </w:p>
    <w:bookmarkStart w:id="9" w:name="page10"/>
    <w:bookmarkEnd w:id="9"/>
    <w:p>
      <w:pPr>
        <w:ind w:left="660"/>
        <w:spacing w:after="0"/>
        <w:rPr>
          <w:sz w:val="20"/>
          <w:szCs w:val="20"/>
          <w:color w:val="auto"/>
        </w:rPr>
      </w:pPr>
      <w:r>
        <w:rPr>
          <w:rFonts w:ascii="Arial" w:cs="Arial" w:eastAsia="Arial" w:hAnsi="Arial"/>
          <w:sz w:val="12"/>
          <w:szCs w:val="12"/>
          <w:color w:val="auto"/>
        </w:rPr>
        <w:t>to forfeiture upon voluntary or involuntary termination for cause, as defined in the Company's current standard form of restricted stock award agreement; and</w:t>
      </w:r>
    </w:p>
    <w:p>
      <w:pPr>
        <w:spacing w:after="0" w:line="78" w:lineRule="exact"/>
        <w:rPr>
          <w:sz w:val="20"/>
          <w:szCs w:val="20"/>
          <w:color w:val="auto"/>
        </w:rPr>
      </w:pPr>
    </w:p>
    <w:p>
      <w:pPr>
        <w:ind w:left="660" w:hanging="224"/>
        <w:spacing w:after="0" w:line="286" w:lineRule="auto"/>
        <w:tabs>
          <w:tab w:leader="none" w:pos="657" w:val="left"/>
        </w:tabs>
        <w:numPr>
          <w:ilvl w:val="1"/>
          <w:numId w:val="14"/>
        </w:numPr>
        <w:rPr>
          <w:rFonts w:ascii="Arial" w:cs="Arial" w:eastAsia="Arial" w:hAnsi="Arial"/>
          <w:sz w:val="12"/>
          <w:szCs w:val="12"/>
          <w:color w:val="auto"/>
        </w:rPr>
      </w:pPr>
      <w:r>
        <w:rPr>
          <w:rFonts w:ascii="Arial" w:cs="Arial" w:eastAsia="Arial" w:hAnsi="Arial"/>
          <w:sz w:val="12"/>
          <w:szCs w:val="12"/>
          <w:color w:val="auto"/>
        </w:rPr>
        <w:t xml:space="preserve">an annual cash incentive bonus with a target amount equal to 100% of his base salary. The award may be paid out upon the expiration of the Term depending on achievement of certain performance goals and business objectives as described under "Nolan Short-Term Cash Incentive Plan" beginning on page </w:t>
      </w:r>
      <w:r>
        <w:rPr>
          <w:rFonts w:ascii="Arial" w:cs="Arial" w:eastAsia="Arial" w:hAnsi="Arial"/>
          <w:sz w:val="12"/>
          <w:szCs w:val="12"/>
          <w:u w:val="single" w:color="auto"/>
          <w:color w:val="0000FF"/>
        </w:rPr>
        <w:t>46</w:t>
      </w:r>
      <w:r>
        <w:rPr>
          <w:rFonts w:ascii="Arial" w:cs="Arial" w:eastAsia="Arial" w:hAnsi="Arial"/>
          <w:sz w:val="12"/>
          <w:szCs w:val="12"/>
          <w:color w:val="auto"/>
        </w:rPr>
        <w:t>.</w:t>
      </w:r>
    </w:p>
    <w:p>
      <w:pPr>
        <w:spacing w:after="0" w:line="103" w:lineRule="exact"/>
        <w:rPr>
          <w:rFonts w:ascii="Arial" w:cs="Arial" w:eastAsia="Arial" w:hAnsi="Arial"/>
          <w:sz w:val="12"/>
          <w:szCs w:val="12"/>
          <w:color w:val="auto"/>
        </w:rPr>
      </w:pPr>
    </w:p>
    <w:p>
      <w:pPr>
        <w:ind w:left="220" w:hanging="216"/>
        <w:spacing w:after="0" w:line="286" w:lineRule="auto"/>
        <w:tabs>
          <w:tab w:leader="none" w:pos="217"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New Chief Financial Officer Offer Letter</w:t>
      </w:r>
      <w:r>
        <w:rPr>
          <w:rFonts w:ascii="Arial" w:cs="Arial" w:eastAsia="Arial" w:hAnsi="Arial"/>
          <w:sz w:val="12"/>
          <w:szCs w:val="12"/>
          <w:color w:val="auto"/>
        </w:rPr>
        <w:t>. In connection with Mr. Augdahl's election as Executive Vice President and Chief Financial Officer, effective January 19, 2026, the Company and Mr. Augdahl entered into an Offer Letter Agreement (the "CFO Offer Letter"). Pursuant to the terms of the CFO Offer Letter, Mr. Augdahl is entitled to:</w:t>
      </w:r>
    </w:p>
    <w:p>
      <w:pPr>
        <w:spacing w:after="0" w:line="103" w:lineRule="exact"/>
        <w:rPr>
          <w:rFonts w:ascii="Arial" w:cs="Arial" w:eastAsia="Arial" w:hAnsi="Arial"/>
          <w:sz w:val="12"/>
          <w:szCs w:val="12"/>
          <w:color w:val="auto"/>
        </w:rPr>
      </w:pPr>
    </w:p>
    <w:p>
      <w:pPr>
        <w:ind w:left="640" w:hanging="204"/>
        <w:spacing w:after="0"/>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an initial annual base salary of $550,000 and a sign-on bonus of $50,000;</w:t>
      </w:r>
    </w:p>
    <w:p>
      <w:pPr>
        <w:spacing w:after="0" w:line="78" w:lineRule="exact"/>
        <w:rPr>
          <w:rFonts w:ascii="Arial" w:cs="Arial" w:eastAsia="Arial" w:hAnsi="Arial"/>
          <w:sz w:val="12"/>
          <w:szCs w:val="12"/>
          <w:color w:val="auto"/>
        </w:rPr>
      </w:pPr>
    </w:p>
    <w:p>
      <w:pPr>
        <w:jc w:val="both"/>
        <w:ind w:left="660" w:hanging="224"/>
        <w:spacing w:after="0" w:line="257" w:lineRule="auto"/>
        <w:tabs>
          <w:tab w:leader="none" w:pos="657" w:val="left"/>
        </w:tabs>
        <w:numPr>
          <w:ilvl w:val="1"/>
          <w:numId w:val="14"/>
        </w:numPr>
        <w:rPr>
          <w:rFonts w:ascii="Arial" w:cs="Arial" w:eastAsia="Arial" w:hAnsi="Arial"/>
          <w:sz w:val="12"/>
          <w:szCs w:val="12"/>
          <w:color w:val="auto"/>
        </w:rPr>
      </w:pPr>
      <w:r>
        <w:rPr>
          <w:rFonts w:ascii="Arial" w:cs="Arial" w:eastAsia="Arial" w:hAnsi="Arial"/>
          <w:sz w:val="12"/>
          <w:szCs w:val="12"/>
          <w:color w:val="auto"/>
        </w:rPr>
        <w:t xml:space="preserve">a one-time award of $700,000 of restricted shares in connection with his promotion based on the closing price on the later of his election date or the date the award is approved by the Compensation Committee. Fifty percent (50%) of this grant will vest twelve months after his election date, and the remaining fifty percent (50%) will vest twenty-four months after his election date, which was included in the Stock Awards column for fiscal 2026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If Mr. Augdahl's employment is terminated due to retirement or involuntary termination without cause prior to one year of service, Mr. Augdahl will be eligible to receive fifty percent (50%) of the initial grant immediately and the remainder will be forfeited. Between one year and two years of service, if Mr. Augdahl's employment is terminated due to retirement or involuntary termination, Mr. Augdahl will be eligible to receive the remainder of the award immediately; and</w:t>
      </w:r>
    </w:p>
    <w:p>
      <w:pPr>
        <w:spacing w:after="0" w:line="49" w:lineRule="exact"/>
        <w:rPr>
          <w:rFonts w:ascii="Arial" w:cs="Arial" w:eastAsia="Arial" w:hAnsi="Arial"/>
          <w:sz w:val="12"/>
          <w:szCs w:val="12"/>
          <w:color w:val="auto"/>
        </w:rPr>
      </w:pPr>
    </w:p>
    <w:p>
      <w:pPr>
        <w:ind w:left="660" w:hanging="224"/>
        <w:spacing w:after="0" w:line="286" w:lineRule="auto"/>
        <w:tabs>
          <w:tab w:leader="none" w:pos="657" w:val="left"/>
        </w:tabs>
        <w:numPr>
          <w:ilvl w:val="1"/>
          <w:numId w:val="14"/>
        </w:numPr>
        <w:rPr>
          <w:rFonts w:ascii="Arial" w:cs="Arial" w:eastAsia="Arial" w:hAnsi="Arial"/>
          <w:sz w:val="12"/>
          <w:szCs w:val="12"/>
          <w:color w:val="auto"/>
        </w:rPr>
      </w:pPr>
      <w:r>
        <w:rPr>
          <w:rFonts w:ascii="Arial" w:cs="Arial" w:eastAsia="Arial" w:hAnsi="Arial"/>
          <w:sz w:val="12"/>
          <w:szCs w:val="12"/>
          <w:color w:val="auto"/>
        </w:rPr>
        <w:t>ongoing incentives with a targeted short-term cash incentive of 75% of his base salary, a restricted stock award with a target grant date value of 75% of base salary and a performance award with a target payout of 75% of base salary, with terms consistent with those provided to the Other Named Executive Officers.</w:t>
      </w:r>
    </w:p>
    <w:p>
      <w:pPr>
        <w:spacing w:after="0" w:line="103" w:lineRule="exact"/>
        <w:rPr>
          <w:rFonts w:ascii="Arial" w:cs="Arial" w:eastAsia="Arial" w:hAnsi="Arial"/>
          <w:sz w:val="12"/>
          <w:szCs w:val="12"/>
          <w:color w:val="auto"/>
        </w:rPr>
      </w:pPr>
    </w:p>
    <w:p>
      <w:pPr>
        <w:jc w:val="both"/>
        <w:ind w:left="220" w:hanging="216"/>
        <w:spacing w:after="0" w:line="262" w:lineRule="auto"/>
        <w:tabs>
          <w:tab w:leader="none" w:pos="217"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President, Architectural Metals Segment, Reassignment Grant.</w:t>
      </w:r>
      <w:r>
        <w:rPr>
          <w:rFonts w:ascii="Arial" w:cs="Arial" w:eastAsia="Arial" w:hAnsi="Arial"/>
          <w:sz w:val="12"/>
          <w:szCs w:val="12"/>
          <w:color w:val="auto"/>
        </w:rPr>
        <w:t xml:space="preserve"> In connection with the reassignment of Mr. T. Johnson to the position of President, Architectural Metals Segment, effective August 7, 2025, the Company established a minimum short-term cash incentive award of 100% of target for fiscal 2026 and fiscal 2027. The Company also granted Mr. T. Johnson a time-based restricted stock award with a grant date fair value of $325,014. This award is reported in the Stock Awards column for fiscal 2026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Assuming Mr. T. Johnson's continued employment with the Company, 100% of the restricted stock will vest on the second anniversary of the grant date.</w:t>
      </w:r>
    </w:p>
    <w:p>
      <w:pPr>
        <w:spacing w:after="0" w:line="117" w:lineRule="exact"/>
        <w:rPr>
          <w:rFonts w:ascii="Arial" w:cs="Arial" w:eastAsia="Arial" w:hAnsi="Arial"/>
          <w:sz w:val="12"/>
          <w:szCs w:val="12"/>
          <w:color w:val="auto"/>
        </w:rPr>
      </w:pPr>
    </w:p>
    <w:p>
      <w:pPr>
        <w:jc w:val="both"/>
        <w:ind w:left="220" w:hanging="216"/>
        <w:spacing w:after="0" w:line="259" w:lineRule="auto"/>
        <w:tabs>
          <w:tab w:leader="none" w:pos="217"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Former Chief Executive Officer Separation Agreement</w:t>
      </w:r>
      <w:r>
        <w:rPr>
          <w:rFonts w:ascii="Arial" w:cs="Arial" w:eastAsia="Arial" w:hAnsi="Arial"/>
          <w:sz w:val="12"/>
          <w:szCs w:val="12"/>
          <w:color w:val="auto"/>
        </w:rPr>
        <w:t>. Pursuant to the terms of his Separation Agreement, Mr. Silberhorn received $932,000 in cash, which was equal to his annual base salary for fiscal 2026. This payment will be made in twenty-four, equal monthly installments on the Company's regular payroll dates. Mr. Silberhorn was paid $466,000, which is an amount equal to fifty percent (50%) of his target short-term incentive for fiscal 2026. The Board agreed to accelerate the vesting of a total of 78,376 shares of time-based restricted stock held by Mr. Silberhorn. The Separation Agreement further provides that the Company will award Mr. Silberhorn 100% of his target performance award dated April 19, 2023, which equals 16,867 shares of common stock of the Company and a cash payment of $742,500. All other outstanding equity awards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33655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720" w:top="667" w:right="29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05445E"/>
        </w:rPr>
        <w:t>Board Composition and Diversity Highlights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composition of our Board of Directors features a majority of independent directors, and a diversity of background, skills and experiences that facilitate effective oversight and enrich Board deliberations on strategic planning, operations, risk management and other critical topics, as illustrated below.</w:t>
      </w:r>
    </w:p>
    <w:p>
      <w:pPr>
        <w:spacing w:after="0" w:line="278"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860" w:type="dxa"/>
            <w:vAlign w:val="bottom"/>
            <w:shd w:val="clear" w:color="auto" w:fill="05445E"/>
          </w:tcPr>
          <w:p>
            <w:pPr>
              <w:ind w:left="780"/>
              <w:spacing w:after="0"/>
              <w:rPr>
                <w:sz w:val="20"/>
                <w:szCs w:val="20"/>
                <w:color w:val="auto"/>
              </w:rPr>
            </w:pPr>
            <w:r>
              <w:rPr>
                <w:rFonts w:ascii="Arial" w:cs="Arial" w:eastAsia="Arial" w:hAnsi="Arial"/>
                <w:sz w:val="12"/>
                <w:szCs w:val="12"/>
                <w:b w:val="1"/>
                <w:bCs w:val="1"/>
                <w:color w:val="FFFFFF"/>
              </w:rPr>
              <w:t>Director Independence</w:t>
            </w:r>
          </w:p>
        </w:tc>
        <w:tc>
          <w:tcPr>
            <w:tcW w:w="3080" w:type="dxa"/>
            <w:vAlign w:val="bottom"/>
          </w:tcPr>
          <w:p>
            <w:pPr>
              <w:spacing w:after="0"/>
              <w:rPr>
                <w:sz w:val="15"/>
                <w:szCs w:val="15"/>
                <w:color w:val="auto"/>
              </w:rPr>
            </w:pPr>
          </w:p>
        </w:tc>
        <w:tc>
          <w:tcPr>
            <w:tcW w:w="2860" w:type="dxa"/>
            <w:vAlign w:val="bottom"/>
            <w:shd w:val="clear" w:color="auto" w:fill="05445E"/>
          </w:tcPr>
          <w:p>
            <w:pPr>
              <w:ind w:left="980"/>
              <w:spacing w:after="0"/>
              <w:rPr>
                <w:sz w:val="20"/>
                <w:szCs w:val="20"/>
                <w:color w:val="auto"/>
              </w:rPr>
            </w:pPr>
            <w:r>
              <w:rPr>
                <w:rFonts w:ascii="Arial" w:cs="Arial" w:eastAsia="Arial" w:hAnsi="Arial"/>
                <w:sz w:val="12"/>
                <w:szCs w:val="12"/>
                <w:b w:val="1"/>
                <w:bCs w:val="1"/>
                <w:color w:val="FFFFFF"/>
              </w:rPr>
              <w:t>Tenure 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34290</wp:posOffset>
            </wp:positionV>
            <wp:extent cx="1828800" cy="1143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800" cy="11430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34290</wp:posOffset>
            </wp:positionV>
            <wp:extent cx="1828800" cy="1143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8800"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80" w:type="dxa"/>
            <w:vAlign w:val="bottom"/>
          </w:tcPr>
          <w:p>
            <w:pPr>
              <w:ind w:left="420"/>
              <w:spacing w:after="0"/>
              <w:rPr>
                <w:sz w:val="20"/>
                <w:szCs w:val="20"/>
                <w:color w:val="auto"/>
              </w:rPr>
            </w:pPr>
            <w:r>
              <w:rPr>
                <w:rFonts w:ascii="Arial" w:cs="Arial" w:eastAsia="Arial" w:hAnsi="Arial"/>
                <w:sz w:val="12"/>
                <w:szCs w:val="12"/>
                <w:color w:val="6D6D6D"/>
              </w:rPr>
              <w:t>6 of 7 Directors</w:t>
            </w:r>
          </w:p>
        </w:tc>
        <w:tc>
          <w:tcPr>
            <w:tcW w:w="3240" w:type="dxa"/>
            <w:vAlign w:val="bottom"/>
            <w:gridSpan w:val="2"/>
            <w:vMerge w:val="restart"/>
          </w:tcPr>
          <w:p>
            <w:pPr>
              <w:ind w:left="2180"/>
              <w:spacing w:after="0"/>
              <w:rPr>
                <w:sz w:val="20"/>
                <w:szCs w:val="20"/>
                <w:color w:val="auto"/>
              </w:rPr>
            </w:pPr>
            <w:r>
              <w:rPr>
                <w:rFonts w:ascii="Arial" w:cs="Arial" w:eastAsia="Arial" w:hAnsi="Arial"/>
                <w:sz w:val="12"/>
                <w:szCs w:val="12"/>
                <w:color w:val="6D6D6D"/>
              </w:rPr>
              <w:t>6 of 7 Directors</w:t>
            </w:r>
          </w:p>
        </w:tc>
        <w:tc>
          <w:tcPr>
            <w:tcW w:w="0" w:type="dxa"/>
            <w:vAlign w:val="bottom"/>
          </w:tcPr>
          <w:p>
            <w:pPr>
              <w:spacing w:after="0"/>
              <w:rPr>
                <w:sz w:val="1"/>
                <w:szCs w:val="1"/>
                <w:color w:val="auto"/>
              </w:rPr>
            </w:pPr>
          </w:p>
        </w:tc>
      </w:tr>
      <w:tr>
        <w:trPr>
          <w:trHeight w:val="72"/>
        </w:trPr>
        <w:tc>
          <w:tcPr>
            <w:tcW w:w="4180" w:type="dxa"/>
            <w:vAlign w:val="bottom"/>
            <w:vMerge w:val="restart"/>
          </w:tcPr>
          <w:p>
            <w:pPr>
              <w:spacing w:after="0"/>
              <w:rPr>
                <w:sz w:val="20"/>
                <w:szCs w:val="20"/>
                <w:color w:val="auto"/>
              </w:rPr>
            </w:pPr>
            <w:r>
              <w:rPr>
                <w:rFonts w:ascii="Arial" w:cs="Arial" w:eastAsia="Arial" w:hAnsi="Arial"/>
                <w:sz w:val="12"/>
                <w:szCs w:val="12"/>
                <w:color w:val="6D6D6D"/>
              </w:rPr>
              <w:t>Independent</w:t>
            </w:r>
          </w:p>
        </w:tc>
        <w:tc>
          <w:tcPr>
            <w:tcW w:w="3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180" w:type="dxa"/>
            <w:vAlign w:val="bottom"/>
            <w:vMerge w:val="continue"/>
          </w:tcPr>
          <w:p>
            <w:pPr>
              <w:spacing w:after="0"/>
              <w:rPr>
                <w:sz w:val="7"/>
                <w:szCs w:val="7"/>
                <w:color w:val="auto"/>
              </w:rPr>
            </w:pPr>
          </w:p>
        </w:tc>
        <w:tc>
          <w:tcPr>
            <w:tcW w:w="3240" w:type="dxa"/>
            <w:vAlign w:val="bottom"/>
            <w:gridSpan w:val="2"/>
            <w:vMerge w:val="restart"/>
          </w:tcPr>
          <w:p>
            <w:pPr>
              <w:ind w:left="1740"/>
              <w:spacing w:after="0"/>
              <w:rPr>
                <w:sz w:val="20"/>
                <w:szCs w:val="20"/>
                <w:color w:val="auto"/>
              </w:rPr>
            </w:pPr>
            <w:r>
              <w:rPr>
                <w:rFonts w:ascii="Arial" w:cs="Arial" w:eastAsia="Arial" w:hAnsi="Arial"/>
                <w:sz w:val="12"/>
                <w:szCs w:val="12"/>
                <w:color w:val="6D6D6D"/>
                <w:w w:val="96"/>
              </w:rPr>
              <w:t>10 or Fewer Years of Tenure</w:t>
            </w:r>
          </w:p>
        </w:tc>
        <w:tc>
          <w:tcPr>
            <w:tcW w:w="0" w:type="dxa"/>
            <w:vAlign w:val="bottom"/>
          </w:tcPr>
          <w:p>
            <w:pPr>
              <w:spacing w:after="0"/>
              <w:rPr>
                <w:sz w:val="1"/>
                <w:szCs w:val="1"/>
                <w:color w:val="auto"/>
              </w:rPr>
            </w:pPr>
          </w:p>
        </w:tc>
      </w:tr>
      <w:tr>
        <w:trPr>
          <w:trHeight w:val="72"/>
        </w:trPr>
        <w:tc>
          <w:tcPr>
            <w:tcW w:w="4180" w:type="dxa"/>
            <w:vAlign w:val="bottom"/>
          </w:tcPr>
          <w:p>
            <w:pPr>
              <w:spacing w:after="0"/>
              <w:rPr>
                <w:sz w:val="6"/>
                <w:szCs w:val="6"/>
                <w:color w:val="auto"/>
              </w:rPr>
            </w:pPr>
          </w:p>
        </w:tc>
        <w:tc>
          <w:tcPr>
            <w:tcW w:w="3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3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180" w:type="dxa"/>
            <w:vAlign w:val="bottom"/>
          </w:tcPr>
          <w:p>
            <w:pPr>
              <w:spacing w:after="0"/>
              <w:rPr>
                <w:sz w:val="15"/>
                <w:szCs w:val="15"/>
                <w:color w:val="auto"/>
              </w:rPr>
            </w:pPr>
          </w:p>
        </w:tc>
        <w:tc>
          <w:tcPr>
            <w:tcW w:w="2920" w:type="dxa"/>
            <w:vAlign w:val="bottom"/>
            <w:shd w:val="clear" w:color="auto" w:fill="05445E"/>
          </w:tcPr>
          <w:p>
            <w:pPr>
              <w:ind w:left="1220"/>
              <w:spacing w:after="0"/>
              <w:rPr>
                <w:sz w:val="20"/>
                <w:szCs w:val="20"/>
                <w:color w:val="auto"/>
              </w:rPr>
            </w:pPr>
            <w:r>
              <w:rPr>
                <w:rFonts w:ascii="Arial" w:cs="Arial" w:eastAsia="Arial" w:hAnsi="Arial"/>
                <w:sz w:val="12"/>
                <w:szCs w:val="12"/>
                <w:b w:val="1"/>
                <w:bCs w:val="1"/>
                <w:color w:val="FFFFFF"/>
              </w:rPr>
              <w:t>Diversity</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34290</wp:posOffset>
            </wp:positionV>
            <wp:extent cx="1920240" cy="1314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0240"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6D6D6D"/>
        </w:rPr>
        <w:t>3 of 7 Female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6D6D6D"/>
        </w:rPr>
        <w:t>2 of 7 Racially Diverse/Male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Board Skills Matrix</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 xml:space="preserve">Each member of our Board of Directors brings a diversity of skills and experience to their service on our Board. The following matrix highlights the key skills, experience, and range of tenure for our directors as of April 27, 2026. This matrix is intended as a summary and is not an exhaustive list of each director's qualifications for Board service, which are described in greater detail in their biographies beginning on page </w:t>
      </w:r>
      <w:r>
        <w:rPr>
          <w:rFonts w:ascii="Arial" w:cs="Arial" w:eastAsia="Arial" w:hAnsi="Arial"/>
          <w:sz w:val="12"/>
          <w:szCs w:val="12"/>
          <w:u w:val="single" w:color="auto"/>
          <w:color w:val="0000FF"/>
        </w:rPr>
        <w:t>15</w:t>
      </w:r>
      <w:r>
        <w:rPr>
          <w:rFonts w:ascii="Arial" w:cs="Arial" w:eastAsia="Arial" w:hAnsi="Arial"/>
          <w:sz w:val="12"/>
          <w:szCs w:val="12"/>
          <w:color w:val="auto"/>
        </w:rPr>
        <w:t>.</w:t>
      </w:r>
    </w:p>
    <w:p>
      <w:pPr>
        <w:sectPr>
          <w:pgSz w:w="11900" w:h="16838" w:orient="portrait"/>
          <w:cols w:equalWidth="0" w:num="1">
            <w:col w:w="11280"/>
          </w:cols>
          <w:pgMar w:left="300" w:top="813" w:right="31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Board Skills Matrix</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Executive Leadership</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Business Operations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Strategy Development</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and Execution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Portfolio Management /</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Mergers and Acquisitions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Financial Management</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Enterprise Risk Management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Construction and Building</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Products Experience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Public Company Board</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Experience (other than</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Apogee)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Cybersecurity</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Tenure (years)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Christina</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Lloyd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Elizabeth</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Donald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Herbert</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Mark</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Patricia</w:t>
            </w:r>
          </w:p>
        </w:tc>
      </w:tr>
      <w:tr>
        <w:trPr>
          <w:trHeight w:val="144"/>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M.</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6"/>
              </w:rPr>
              <w:t>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M.</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A.</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K.</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A.</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K.</w:t>
            </w:r>
          </w:p>
        </w:tc>
      </w:tr>
      <w:tr>
        <w:trPr>
          <w:trHeight w:val="16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Alvord</w:t>
            </w:r>
          </w:p>
        </w:tc>
        <w:tc>
          <w:tcPr>
            <w:tcW w:w="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Johnson</w:t>
            </w:r>
          </w:p>
        </w:tc>
        <w:tc>
          <w:tcPr>
            <w:tcW w:w="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Lilly</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Nolan</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Parker</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Pompa</w:t>
            </w:r>
          </w:p>
        </w:tc>
        <w:tc>
          <w:tcPr>
            <w:tcW w:w="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Wagner</w:t>
            </w:r>
          </w:p>
        </w:tc>
      </w:tr>
      <w:tr>
        <w:trPr>
          <w:trHeight w:val="148"/>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180"/>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252"/>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324"/>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252"/>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180"/>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252"/>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spacing w:after="0"/>
              <w:rPr>
                <w:sz w:val="21"/>
                <w:szCs w:val="21"/>
                <w:color w:val="auto"/>
              </w:rPr>
            </w:pPr>
          </w:p>
        </w:tc>
      </w:tr>
      <w:tr>
        <w:trPr>
          <w:trHeight w:val="396"/>
        </w:trPr>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Wingdings" w:cs="Wingdings" w:eastAsia="Wingdings" w:hAnsi="Wingdings"/>
                <w:sz w:val="12"/>
                <w:szCs w:val="12"/>
                <w:b w:val="1"/>
                <w:bCs w:val="1"/>
                <w:color w:val="auto"/>
              </w:rPr>
              <w:t>ü</w:t>
            </w: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60" w:type="dxa"/>
            <w:vAlign w:val="bottom"/>
          </w:tcPr>
          <w:p>
            <w:pPr>
              <w:jc w:val="center"/>
              <w:spacing w:after="0"/>
              <w:rPr>
                <w:sz w:val="20"/>
                <w:szCs w:val="20"/>
                <w:color w:val="auto"/>
              </w:rPr>
            </w:pPr>
            <w:r>
              <w:rPr>
                <w:rFonts w:ascii="Wingdings" w:cs="Wingdings" w:eastAsia="Wingdings" w:hAnsi="Wingdings"/>
                <w:sz w:val="12"/>
                <w:szCs w:val="12"/>
                <w:b w:val="1"/>
                <w:bCs w:val="1"/>
                <w:color w:val="auto"/>
              </w:rPr>
              <w:t>ü</w:t>
            </w:r>
          </w:p>
        </w:tc>
      </w:tr>
      <w:tr>
        <w:trPr>
          <w:trHeight w:val="324"/>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center"/>
              <w:ind w:right="60"/>
              <w:spacing w:after="0"/>
              <w:rPr>
                <w:sz w:val="20"/>
                <w:szCs w:val="20"/>
                <w:color w:val="auto"/>
              </w:rPr>
            </w:pPr>
            <w:r>
              <w:rPr>
                <w:rFonts w:ascii="Wingdings" w:cs="Wingdings" w:eastAsia="Wingdings" w:hAnsi="Wingdings"/>
                <w:sz w:val="12"/>
                <w:szCs w:val="12"/>
                <w:b w:val="1"/>
                <w:bCs w:val="1"/>
                <w:color w:val="auto"/>
              </w:rPr>
              <w:t>ü</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2"/>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-1359535</wp:posOffset>
            </wp:positionV>
            <wp:extent cx="711517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-948055</wp:posOffset>
            </wp:positionV>
            <wp:extent cx="7115175"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1430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-719455</wp:posOffset>
            </wp:positionV>
            <wp:extent cx="711517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-216535</wp:posOffset>
            </wp:positionV>
            <wp:extent cx="7115175"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1430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-1593850</wp:posOffset>
            </wp:positionV>
            <wp:extent cx="711517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300"/>
          </w:cols>
          <w:pgMar w:left="300" w:top="813" w:right="319" w:bottom="1440" w:gutter="0" w:footer="0" w:header="0"/>
          <w:type w:val="continuous"/>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3"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9"/>
          <w:szCs w:val="19"/>
          <w:b w:val="1"/>
          <w:bCs w:val="1"/>
          <w:color w:val="05445E"/>
        </w:rPr>
        <w:t>Active Shareholder Engagement Program</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Shareholder engagement is a key part of our commitment to good governance. We regularly engage with our shareholders to discuss our business and to gain insights on the issues that are most important to them. In fiscal 2026, we continued our shareholder engagement practices, utilizing a combination of in-person and virtual meeting formats to stay connected with our shareholders. During fiscal 2026, members of our management team participated in several virtual and in-person investor conferences and met with investors in numerous other in-person and virtual meetings, conference calls and phone calls. The feedback from our engagement with investors is regularly shared with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Cautionary statement of forward-looking information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This Proxy Statement contains certain statements regarding our strategic plan and our sustainability initiatives, including goals and commitments. Such statements are not guarantees or promises that such goals or commitments will be met, and they will continue to evolve and develop. Strategic, sustainability-related and other statements contained in this Proxy Statement may constitute “forward-looking” statements within the meaning of the Private Securities Litigation Reform Act, including statements about our future financial performance, business and initiatives, which may evolve over time. We use words such as “aims,” “anticipates,” “believes,” “commits,” “expects,” “intends,” “plans,” “strives,” “will,” and similar expressions to identify forward-looking statements. Forward-looking statements reflect management’s current expectations, plans or forecasts, are not guarantees of future results or performance, and involve certain known and unknown risks, uncertainties and assumptions that are difficult to predict and often beyond our control and are inherently uncertain. Actual outcomes and results may differ materially from those expressed in, or implied by, forward-looking statements. You should not place undue reliance on any forward-looking statements and should consider the uncertainties and risks discussed in our most recent Annual Report on Form 10-K and subsequent SEC filings. We undertake no obligation to update or revise any forward-looking statements.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Certain sections of this Proxy Statement reference or refer you to materials posted on our website, </w:t>
      </w:r>
      <w:r>
        <w:rPr>
          <w:rFonts w:ascii="Arial" w:cs="Arial" w:eastAsia="Arial" w:hAnsi="Arial"/>
          <w:sz w:val="12"/>
          <w:szCs w:val="12"/>
          <w:color w:val="0000FF"/>
        </w:rPr>
        <w:t>www.apog.com</w:t>
      </w:r>
      <w:r>
        <w:rPr>
          <w:rFonts w:ascii="Arial" w:cs="Arial" w:eastAsia="Arial" w:hAnsi="Arial"/>
          <w:sz w:val="12"/>
          <w:szCs w:val="12"/>
          <w:color w:val="auto"/>
        </w:rPr>
        <w:t>. These materials and our website are not incorporated by reference in, and are not part of, this Proxy Statement.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following table sets forth information concerning beneficial ownership of our common stock outstanding as of April 27, 2026, by persons known to us to own more than 5% of our common stock. Unless otherwise indicated, the named holders have sole voting and investment power with respect to the shares beneficially owned by them. As of April 27, 2026, there were 21,351,005 shares of common stock outstanding.</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44"/>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b w:val="1"/>
                <w:bCs w:val="1"/>
                <w:color w:val="05445E"/>
                <w:w w:val="98"/>
              </w:rPr>
              <w:t>Amount and Nature</w:t>
            </w:r>
          </w:p>
        </w:tc>
        <w:tc>
          <w:tcPr>
            <w:tcW w:w="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b w:val="1"/>
                <w:bCs w:val="1"/>
                <w:color w:val="05445E"/>
                <w:w w:val="98"/>
              </w:rPr>
              <w:t>of Beneficial</w:t>
            </w:r>
          </w:p>
        </w:tc>
        <w:tc>
          <w:tcPr>
            <w:tcW w:w="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0"/>
              <w:spacing w:after="0"/>
              <w:rPr>
                <w:sz w:val="20"/>
                <w:szCs w:val="20"/>
                <w:color w:val="auto"/>
              </w:rPr>
            </w:pPr>
            <w:r>
              <w:rPr>
                <w:rFonts w:ascii="Arial" w:cs="Arial" w:eastAsia="Arial" w:hAnsi="Arial"/>
                <w:sz w:val="12"/>
                <w:szCs w:val="12"/>
                <w:b w:val="1"/>
                <w:bCs w:val="1"/>
                <w:color w:val="05445E"/>
              </w:rPr>
              <w:t>Name and Address of</w:t>
            </w:r>
          </w:p>
        </w:tc>
        <w:tc>
          <w:tcPr>
            <w:tcW w:w="2460" w:type="dxa"/>
            <w:vAlign w:val="bottom"/>
          </w:tcPr>
          <w:p>
            <w:pPr>
              <w:jc w:val="center"/>
              <w:spacing w:after="0"/>
              <w:rPr>
                <w:sz w:val="20"/>
                <w:szCs w:val="20"/>
                <w:color w:val="auto"/>
              </w:rPr>
            </w:pPr>
            <w:r>
              <w:rPr>
                <w:rFonts w:ascii="Arial" w:cs="Arial" w:eastAsia="Arial" w:hAnsi="Arial"/>
                <w:sz w:val="12"/>
                <w:szCs w:val="12"/>
                <w:b w:val="1"/>
                <w:bCs w:val="1"/>
                <w:color w:val="05445E"/>
                <w:w w:val="99"/>
              </w:rPr>
              <w:t>Ownership</w:t>
            </w:r>
          </w:p>
        </w:tc>
        <w:tc>
          <w:tcPr>
            <w:tcW w:w="320" w:type="dxa"/>
            <w:vAlign w:val="bottom"/>
          </w:tcPr>
          <w:p>
            <w:pPr>
              <w:spacing w:after="0"/>
              <w:rPr>
                <w:sz w:val="12"/>
                <w:szCs w:val="12"/>
                <w:color w:val="auto"/>
              </w:rPr>
            </w:pPr>
          </w:p>
        </w:tc>
        <w:tc>
          <w:tcPr>
            <w:tcW w:w="2460" w:type="dxa"/>
            <w:vAlign w:val="bottom"/>
          </w:tcPr>
          <w:p>
            <w:pPr>
              <w:jc w:val="right"/>
              <w:ind w:right="720"/>
              <w:spacing w:after="0"/>
              <w:rPr>
                <w:sz w:val="20"/>
                <w:szCs w:val="20"/>
                <w:color w:val="auto"/>
              </w:rPr>
            </w:pPr>
            <w:r>
              <w:rPr>
                <w:rFonts w:ascii="Arial" w:cs="Arial" w:eastAsia="Arial" w:hAnsi="Arial"/>
                <w:sz w:val="12"/>
                <w:szCs w:val="12"/>
                <w:b w:val="1"/>
                <w:bCs w:val="1"/>
                <w:color w:val="05445E"/>
              </w:rPr>
              <w:t>Percent of Class</w:t>
            </w:r>
          </w:p>
        </w:tc>
        <w:tc>
          <w:tcPr>
            <w:tcW w:w="0" w:type="dxa"/>
            <w:vAlign w:val="bottom"/>
          </w:tcPr>
          <w:p>
            <w:pPr>
              <w:spacing w:after="0"/>
              <w:rPr>
                <w:sz w:val="1"/>
                <w:szCs w:val="1"/>
                <w:color w:val="auto"/>
              </w:rPr>
            </w:pPr>
          </w:p>
        </w:tc>
      </w:tr>
      <w:tr>
        <w:trPr>
          <w:trHeight w:val="17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05445E"/>
              </w:rPr>
              <w:t>Beneficial Owner</w:t>
            </w:r>
          </w:p>
        </w:tc>
        <w:tc>
          <w:tcPr>
            <w:tcW w:w="80" w:type="dxa"/>
            <w:vAlign w:val="bottom"/>
            <w:tcBorders>
              <w:bottom w:val="single" w:sz="8" w:color="DBDBDB"/>
            </w:tcBorders>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320" w:type="dxa"/>
            <w:vAlign w:val="bottom"/>
            <w:tcBorders>
              <w:bottom w:val="single" w:sz="8" w:color="DBDBDB"/>
            </w:tcBorders>
          </w:tcPr>
          <w:p>
            <w:pPr>
              <w:spacing w:after="0"/>
              <w:rPr>
                <w:sz w:val="14"/>
                <w:szCs w:val="14"/>
                <w:color w:val="auto"/>
              </w:rPr>
            </w:pPr>
          </w:p>
        </w:tc>
        <w:tc>
          <w:tcPr>
            <w:tcW w:w="2460" w:type="dxa"/>
            <w:vAlign w:val="bottom"/>
            <w:tcBorders>
              <w:bottom w:val="single" w:sz="8" w:color="auto"/>
            </w:tcBorders>
          </w:tcPr>
          <w:p>
            <w:pPr>
              <w:jc w:val="right"/>
              <w:ind w:right="1080"/>
              <w:spacing w:after="0"/>
              <w:rPr>
                <w:sz w:val="20"/>
                <w:szCs w:val="20"/>
                <w:color w:val="auto"/>
              </w:rPr>
            </w:pPr>
            <w:r>
              <w:rPr>
                <w:rFonts w:ascii="Arial" w:cs="Arial" w:eastAsia="Arial" w:hAnsi="Arial"/>
                <w:sz w:val="12"/>
                <w:szCs w:val="12"/>
                <w:b w:val="1"/>
                <w:bCs w:val="1"/>
                <w:color w:val="05445E"/>
              </w:rPr>
              <w:t>(%)</w:t>
            </w:r>
          </w:p>
        </w:tc>
        <w:tc>
          <w:tcPr>
            <w:tcW w:w="0" w:type="dxa"/>
            <w:vAlign w:val="bottom"/>
          </w:tcPr>
          <w:p>
            <w:pPr>
              <w:spacing w:after="0"/>
              <w:rPr>
                <w:sz w:val="1"/>
                <w:szCs w:val="1"/>
                <w:color w:val="auto"/>
              </w:rPr>
            </w:pPr>
          </w:p>
        </w:tc>
      </w:tr>
      <w:tr>
        <w:trPr>
          <w:trHeight w:val="86"/>
        </w:trPr>
        <w:tc>
          <w:tcPr>
            <w:tcW w:w="5240" w:type="dxa"/>
            <w:vAlign w:val="bottom"/>
            <w:gridSpan w:val="2"/>
            <w:vMerge w:val="restart"/>
            <w:shd w:val="clear" w:color="auto" w:fill="DBDBDB"/>
          </w:tcPr>
          <w:p>
            <w:pPr>
              <w:ind w:left="20"/>
              <w:spacing w:after="0"/>
              <w:rPr>
                <w:sz w:val="20"/>
                <w:szCs w:val="20"/>
                <w:color w:val="auto"/>
              </w:rPr>
            </w:pPr>
            <w:r>
              <w:rPr>
                <w:rFonts w:ascii="Arial" w:cs="Arial" w:eastAsia="Arial" w:hAnsi="Arial"/>
                <w:sz w:val="12"/>
                <w:szCs w:val="12"/>
                <w:color w:val="auto"/>
              </w:rPr>
              <w:t>BlackRock, Inc.</w:t>
            </w:r>
          </w:p>
        </w:tc>
        <w:tc>
          <w:tcPr>
            <w:tcW w:w="2460" w:type="dxa"/>
            <w:vAlign w:val="bottom"/>
            <w:vMerge w:val="restart"/>
            <w:shd w:val="clear" w:color="auto" w:fill="DBDBDB"/>
          </w:tcPr>
          <w:p>
            <w:pPr>
              <w:jc w:val="right"/>
              <w:ind w:right="300"/>
              <w:spacing w:after="0"/>
              <w:rPr>
                <w:sz w:val="20"/>
                <w:szCs w:val="20"/>
                <w:color w:val="auto"/>
              </w:rPr>
            </w:pPr>
            <w:r>
              <w:rPr>
                <w:rFonts w:ascii="Arial" w:cs="Arial" w:eastAsia="Arial" w:hAnsi="Arial"/>
                <w:sz w:val="12"/>
                <w:szCs w:val="12"/>
                <w:color w:val="auto"/>
              </w:rPr>
              <w:t>3,238,890</w:t>
            </w:r>
          </w:p>
        </w:tc>
        <w:tc>
          <w:tcPr>
            <w:tcW w:w="320" w:type="dxa"/>
            <w:vAlign w:val="bottom"/>
            <w:shd w:val="clear" w:color="auto" w:fill="DBDBDB"/>
          </w:tcPr>
          <w:p>
            <w:pPr>
              <w:jc w:val="right"/>
              <w:ind w:right="81"/>
              <w:spacing w:after="0" w:line="86" w:lineRule="exact"/>
              <w:rPr>
                <w:sz w:val="20"/>
                <w:szCs w:val="20"/>
                <w:color w:val="auto"/>
              </w:rPr>
            </w:pPr>
            <w:r>
              <w:rPr>
                <w:rFonts w:ascii="Arial" w:cs="Arial" w:eastAsia="Arial" w:hAnsi="Arial"/>
                <w:sz w:val="8"/>
                <w:szCs w:val="8"/>
                <w:color w:val="auto"/>
              </w:rPr>
              <w:t>(1)</w:t>
            </w:r>
          </w:p>
        </w:tc>
        <w:tc>
          <w:tcPr>
            <w:tcW w:w="2460" w:type="dxa"/>
            <w:vAlign w:val="bottom"/>
            <w:vMerge w:val="restart"/>
            <w:shd w:val="clear" w:color="auto" w:fill="DBDBDB"/>
          </w:tcPr>
          <w:p>
            <w:pPr>
              <w:jc w:val="right"/>
              <w:ind w:right="380"/>
              <w:spacing w:after="0"/>
              <w:rPr>
                <w:sz w:val="20"/>
                <w:szCs w:val="20"/>
                <w:color w:val="auto"/>
              </w:rPr>
            </w:pPr>
            <w:r>
              <w:rPr>
                <w:rFonts w:ascii="Arial" w:cs="Arial" w:eastAsia="Arial" w:hAnsi="Arial"/>
                <w:sz w:val="12"/>
                <w:szCs w:val="12"/>
                <w:color w:val="auto"/>
              </w:rPr>
              <w:t>15.17</w:t>
            </w:r>
          </w:p>
        </w:tc>
        <w:tc>
          <w:tcPr>
            <w:tcW w:w="0" w:type="dxa"/>
            <w:vAlign w:val="bottom"/>
          </w:tcPr>
          <w:p>
            <w:pPr>
              <w:spacing w:after="0"/>
              <w:rPr>
                <w:sz w:val="1"/>
                <w:szCs w:val="1"/>
                <w:color w:val="auto"/>
              </w:rPr>
            </w:pPr>
          </w:p>
        </w:tc>
      </w:tr>
      <w:tr>
        <w:trPr>
          <w:trHeight w:val="58"/>
        </w:trPr>
        <w:tc>
          <w:tcPr>
            <w:tcW w:w="5240" w:type="dxa"/>
            <w:vAlign w:val="bottom"/>
            <w:gridSpan w:val="2"/>
            <w:vMerge w:val="continue"/>
            <w:shd w:val="clear" w:color="auto" w:fill="DBDBDB"/>
          </w:tcPr>
          <w:p>
            <w:pPr>
              <w:spacing w:after="0"/>
              <w:rPr>
                <w:sz w:val="5"/>
                <w:szCs w:val="5"/>
                <w:color w:val="auto"/>
              </w:rPr>
            </w:pPr>
          </w:p>
        </w:tc>
        <w:tc>
          <w:tcPr>
            <w:tcW w:w="2460" w:type="dxa"/>
            <w:vAlign w:val="bottom"/>
            <w:vMerge w:val="continue"/>
            <w:shd w:val="clear" w:color="auto" w:fill="DBDBDB"/>
          </w:tcPr>
          <w:p>
            <w:pPr>
              <w:spacing w:after="0"/>
              <w:rPr>
                <w:sz w:val="5"/>
                <w:szCs w:val="5"/>
                <w:color w:val="auto"/>
              </w:rPr>
            </w:pPr>
          </w:p>
        </w:tc>
        <w:tc>
          <w:tcPr>
            <w:tcW w:w="320" w:type="dxa"/>
            <w:vAlign w:val="bottom"/>
            <w:shd w:val="clear" w:color="auto" w:fill="DBDBDB"/>
          </w:tcPr>
          <w:p>
            <w:pPr>
              <w:spacing w:after="0"/>
              <w:rPr>
                <w:sz w:val="5"/>
                <w:szCs w:val="5"/>
                <w:color w:val="auto"/>
              </w:rPr>
            </w:pPr>
          </w:p>
        </w:tc>
        <w:tc>
          <w:tcPr>
            <w:tcW w:w="246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DBDBDB"/>
          </w:tcPr>
          <w:p>
            <w:pPr>
              <w:ind w:left="180"/>
              <w:spacing w:after="0"/>
              <w:rPr>
                <w:sz w:val="20"/>
                <w:szCs w:val="20"/>
                <w:color w:val="auto"/>
              </w:rPr>
            </w:pPr>
            <w:r>
              <w:rPr>
                <w:rFonts w:ascii="Arial" w:cs="Arial" w:eastAsia="Arial" w:hAnsi="Arial"/>
                <w:sz w:val="12"/>
                <w:szCs w:val="12"/>
                <w:color w:val="auto"/>
              </w:rPr>
              <w:t>50 Hudson Yards</w:t>
            </w:r>
          </w:p>
        </w:tc>
        <w:tc>
          <w:tcPr>
            <w:tcW w:w="2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24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DBDBDB"/>
          </w:tcPr>
          <w:p>
            <w:pPr>
              <w:ind w:left="180"/>
              <w:spacing w:after="0"/>
              <w:rPr>
                <w:sz w:val="20"/>
                <w:szCs w:val="20"/>
                <w:color w:val="auto"/>
              </w:rPr>
            </w:pPr>
            <w:r>
              <w:rPr>
                <w:rFonts w:ascii="Arial" w:cs="Arial" w:eastAsia="Arial" w:hAnsi="Arial"/>
                <w:sz w:val="12"/>
                <w:szCs w:val="12"/>
                <w:color w:val="auto"/>
              </w:rPr>
              <w:t>New York, NY 10001</w:t>
            </w:r>
          </w:p>
        </w:tc>
        <w:tc>
          <w:tcPr>
            <w:tcW w:w="246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24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240" w:type="dxa"/>
            <w:vAlign w:val="bottom"/>
            <w:gridSpan w:val="2"/>
            <w:vMerge w:val="restart"/>
          </w:tcPr>
          <w:p>
            <w:pPr>
              <w:ind w:left="20"/>
              <w:spacing w:after="0"/>
              <w:rPr>
                <w:sz w:val="20"/>
                <w:szCs w:val="20"/>
                <w:color w:val="auto"/>
              </w:rPr>
            </w:pPr>
            <w:r>
              <w:rPr>
                <w:rFonts w:ascii="Arial" w:cs="Arial" w:eastAsia="Arial" w:hAnsi="Arial"/>
                <w:sz w:val="12"/>
                <w:szCs w:val="12"/>
                <w:color w:val="auto"/>
              </w:rPr>
              <w:t>Vanguard Portfolio Management LLC</w:t>
            </w:r>
          </w:p>
        </w:tc>
        <w:tc>
          <w:tcPr>
            <w:tcW w:w="2460" w:type="dxa"/>
            <w:vAlign w:val="bottom"/>
            <w:vMerge w:val="restart"/>
          </w:tcPr>
          <w:p>
            <w:pPr>
              <w:jc w:val="center"/>
              <w:spacing w:after="0"/>
              <w:rPr>
                <w:sz w:val="20"/>
                <w:szCs w:val="20"/>
                <w:color w:val="auto"/>
              </w:rPr>
            </w:pPr>
            <w:r>
              <w:rPr>
                <w:rFonts w:ascii="Arial" w:cs="Arial" w:eastAsia="Arial" w:hAnsi="Arial"/>
                <w:sz w:val="12"/>
                <w:szCs w:val="12"/>
                <w:color w:val="auto"/>
              </w:rPr>
              <w:t>1,560,667</w:t>
            </w:r>
          </w:p>
        </w:tc>
        <w:tc>
          <w:tcPr>
            <w:tcW w:w="320" w:type="dxa"/>
            <w:vAlign w:val="bottom"/>
          </w:tcPr>
          <w:p>
            <w:pPr>
              <w:jc w:val="right"/>
              <w:ind w:right="81"/>
              <w:spacing w:after="0"/>
              <w:rPr>
                <w:sz w:val="20"/>
                <w:szCs w:val="20"/>
                <w:color w:val="auto"/>
              </w:rPr>
            </w:pPr>
            <w:r>
              <w:rPr>
                <w:rFonts w:ascii="Arial" w:cs="Arial" w:eastAsia="Arial" w:hAnsi="Arial"/>
                <w:sz w:val="8"/>
                <w:szCs w:val="8"/>
                <w:color w:val="auto"/>
              </w:rPr>
              <w:t>(2)</w:t>
            </w:r>
          </w:p>
        </w:tc>
        <w:tc>
          <w:tcPr>
            <w:tcW w:w="2460" w:type="dxa"/>
            <w:vAlign w:val="bottom"/>
            <w:vMerge w:val="restart"/>
          </w:tcPr>
          <w:p>
            <w:pPr>
              <w:jc w:val="right"/>
              <w:ind w:right="150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49"/>
        </w:trPr>
        <w:tc>
          <w:tcPr>
            <w:tcW w:w="5240" w:type="dxa"/>
            <w:vAlign w:val="bottom"/>
            <w:gridSpan w:val="2"/>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100 Vanguard Boulevard</w:t>
            </w:r>
          </w:p>
        </w:tc>
        <w:tc>
          <w:tcPr>
            <w:tcW w:w="2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Malvern, PA 19355</w:t>
            </w:r>
          </w:p>
        </w:tc>
        <w:tc>
          <w:tcPr>
            <w:tcW w:w="2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240" w:type="dxa"/>
            <w:vAlign w:val="bottom"/>
            <w:gridSpan w:val="2"/>
            <w:vMerge w:val="restart"/>
          </w:tcPr>
          <w:p>
            <w:pPr>
              <w:ind w:left="20"/>
              <w:spacing w:after="0"/>
              <w:rPr>
                <w:sz w:val="20"/>
                <w:szCs w:val="20"/>
                <w:color w:val="auto"/>
              </w:rPr>
            </w:pPr>
            <w:r>
              <w:rPr>
                <w:rFonts w:ascii="Arial" w:cs="Arial" w:eastAsia="Arial" w:hAnsi="Arial"/>
                <w:sz w:val="12"/>
                <w:szCs w:val="12"/>
                <w:color w:val="auto"/>
              </w:rPr>
              <w:t>Vanguard Capital Management LLC</w:t>
            </w:r>
          </w:p>
        </w:tc>
        <w:tc>
          <w:tcPr>
            <w:tcW w:w="2460" w:type="dxa"/>
            <w:vAlign w:val="bottom"/>
            <w:vMerge w:val="restart"/>
          </w:tcPr>
          <w:p>
            <w:pPr>
              <w:jc w:val="center"/>
              <w:spacing w:after="0"/>
              <w:rPr>
                <w:sz w:val="20"/>
                <w:szCs w:val="20"/>
                <w:color w:val="auto"/>
              </w:rPr>
            </w:pPr>
            <w:r>
              <w:rPr>
                <w:rFonts w:ascii="Arial" w:cs="Arial" w:eastAsia="Arial" w:hAnsi="Arial"/>
                <w:sz w:val="12"/>
                <w:szCs w:val="12"/>
                <w:color w:val="auto"/>
              </w:rPr>
              <w:t>1,099,698</w:t>
            </w:r>
          </w:p>
        </w:tc>
        <w:tc>
          <w:tcPr>
            <w:tcW w:w="320" w:type="dxa"/>
            <w:vAlign w:val="bottom"/>
          </w:tcPr>
          <w:p>
            <w:pPr>
              <w:jc w:val="right"/>
              <w:ind w:right="81"/>
              <w:spacing w:after="0"/>
              <w:rPr>
                <w:sz w:val="20"/>
                <w:szCs w:val="20"/>
                <w:color w:val="auto"/>
              </w:rPr>
            </w:pPr>
            <w:r>
              <w:rPr>
                <w:rFonts w:ascii="Arial" w:cs="Arial" w:eastAsia="Arial" w:hAnsi="Arial"/>
                <w:sz w:val="8"/>
                <w:szCs w:val="8"/>
                <w:color w:val="auto"/>
              </w:rPr>
              <w:t>(3)</w:t>
            </w:r>
          </w:p>
        </w:tc>
        <w:tc>
          <w:tcPr>
            <w:tcW w:w="2460" w:type="dxa"/>
            <w:vAlign w:val="bottom"/>
            <w:vMerge w:val="restart"/>
          </w:tcPr>
          <w:p>
            <w:pPr>
              <w:jc w:val="right"/>
              <w:ind w:right="1500"/>
              <w:spacing w:after="0"/>
              <w:rPr>
                <w:sz w:val="20"/>
                <w:szCs w:val="20"/>
                <w:color w:val="auto"/>
              </w:rPr>
            </w:pPr>
            <w:r>
              <w:rPr>
                <w:rFonts w:ascii="Arial" w:cs="Arial" w:eastAsia="Arial" w:hAnsi="Arial"/>
                <w:sz w:val="12"/>
                <w:szCs w:val="12"/>
                <w:color w:val="auto"/>
              </w:rPr>
              <w:t>5.15</w:t>
            </w:r>
          </w:p>
        </w:tc>
        <w:tc>
          <w:tcPr>
            <w:tcW w:w="0" w:type="dxa"/>
            <w:vAlign w:val="bottom"/>
          </w:tcPr>
          <w:p>
            <w:pPr>
              <w:spacing w:after="0"/>
              <w:rPr>
                <w:sz w:val="1"/>
                <w:szCs w:val="1"/>
                <w:color w:val="auto"/>
              </w:rPr>
            </w:pPr>
          </w:p>
        </w:tc>
      </w:tr>
      <w:tr>
        <w:trPr>
          <w:trHeight w:val="65"/>
        </w:trPr>
        <w:tc>
          <w:tcPr>
            <w:tcW w:w="5240" w:type="dxa"/>
            <w:vAlign w:val="bottom"/>
            <w:gridSpan w:val="2"/>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-101600</wp:posOffset>
            </wp:positionV>
            <wp:extent cx="6652260" cy="297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2260" cy="2971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auto"/>
        </w:rPr>
        <w:t>100 Vanguard Boulevard</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Malvern, PA 19355</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jc w:val="both"/>
        <w:ind w:left="540" w:hanging="332"/>
        <w:spacing w:after="0" w:line="268" w:lineRule="auto"/>
        <w:tabs>
          <w:tab w:leader="none" w:pos="534"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have relied upon the information provided by BlackRock, Inc. (“BlackRock”) in a Schedule 13G filed on April 24, 2026, and reporting information as of March 31, 2026. The Schedule 13G/A was filed by BlackRock in its capacity as a parent holding company or control person and indicates that BlackRock has sole investment power over 3,204,509 shares and sole voting power over 3,238,890 shares. BlackRock Fund Advisors, a subsidiary of BlackRock, beneficially owns 5% or greater of the outstanding shares of the security class reported on the Schedule 13G/A.</w:t>
      </w:r>
    </w:p>
    <w:p>
      <w:pPr>
        <w:spacing w:after="0" w:line="41" w:lineRule="exact"/>
        <w:rPr>
          <w:rFonts w:ascii="Arial" w:cs="Arial" w:eastAsia="Arial" w:hAnsi="Arial"/>
          <w:sz w:val="12"/>
          <w:szCs w:val="12"/>
          <w:color w:val="auto"/>
        </w:rPr>
      </w:pPr>
    </w:p>
    <w:p>
      <w:pPr>
        <w:jc w:val="both"/>
        <w:ind w:left="540" w:hanging="332"/>
        <w:spacing w:after="0" w:line="268" w:lineRule="auto"/>
        <w:tabs>
          <w:tab w:leader="none" w:pos="534"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have relied upon the information provided by Vanguard Portfolio Management LLC ("Vanguard Portfolio") filed on April 28, 2026, and reporting information as of March 31, 2026. The Schedule 13G was filed by Vanguard Portfolio in its capacity as a parent holding company or control person and indicates that Vanguard Portfolio has sole investment power over 1,560,667 shares and sole voting power over 20,338 shares. Vanguard Portfolio beneficially owns 5% or greater of the outstanding shares of the security class reported on the Schedule 13G.</w:t>
      </w:r>
    </w:p>
    <w:p>
      <w:pPr>
        <w:spacing w:after="0" w:line="41" w:lineRule="exact"/>
        <w:rPr>
          <w:rFonts w:ascii="Arial" w:cs="Arial" w:eastAsia="Arial" w:hAnsi="Arial"/>
          <w:sz w:val="12"/>
          <w:szCs w:val="12"/>
          <w:color w:val="auto"/>
        </w:rPr>
      </w:pPr>
    </w:p>
    <w:p>
      <w:pPr>
        <w:jc w:val="both"/>
        <w:ind w:left="540" w:hanging="332"/>
        <w:spacing w:after="0" w:line="268" w:lineRule="auto"/>
        <w:tabs>
          <w:tab w:leader="none" w:pos="534"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have relied upon the information provided by Vanguard Capital Management LLC ("Vanguard Capital") in a Schedule 13G filed on April 29, 2026, and reporting information as of March 31, 2026. The Schedule 13G was filed by Vanguard Capital in its capacity as a parent holding company or control person and indicates that Vanguard Capital has sole investment power over 1,099,698 shares and sole voting power over 158,180 shares. Vanguard Capital beneficially owns 5% or greater of the outstanding shares of the security class reported on the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14" w:name="page15"/>
    <w:bookmarkEnd w:id="14"/>
    <w:p>
      <w:pPr>
        <w:jc w:val="center"/>
        <w:ind w:right="-7"/>
        <w:spacing w:after="0"/>
        <w:rPr>
          <w:sz w:val="20"/>
          <w:szCs w:val="20"/>
          <w:color w:val="auto"/>
        </w:rPr>
      </w:pPr>
      <w:r>
        <w:rPr>
          <w:rFonts w:ascii="Arial" w:cs="Arial" w:eastAsia="Arial" w:hAnsi="Arial"/>
          <w:sz w:val="17"/>
          <w:szCs w:val="17"/>
          <w:b w:val="1"/>
          <w:bCs w:val="1"/>
          <w:color w:val="auto"/>
        </w:rPr>
        <w:t>Security Ownership of Directors and Management</w:t>
      </w:r>
    </w:p>
    <w:p>
      <w:pPr>
        <w:spacing w:after="0" w:line="149"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 xml:space="preserve">Except as otherwise noted, the following table sets forth the number of shares of our common stock beneficially owned as of April 27, 2026, by each of our directors, each of our executive officers named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xml:space="preserve"> (our “Named Executive Officers”) and by all of our current directors and executive officers as a group. As of April 27, 2026, there were 21,351,005 shares of common stock outstanding.</w:t>
      </w:r>
    </w:p>
    <w:p>
      <w:pPr>
        <w:spacing w:after="0" w:line="159" w:lineRule="exact"/>
        <w:rPr>
          <w:sz w:val="20"/>
          <w:szCs w:val="20"/>
          <w:color w:val="auto"/>
        </w:rPr>
      </w:pPr>
    </w:p>
    <w:tbl>
      <w:tblPr>
        <w:tblLayout w:type="fixed"/>
        <w:tblInd w:w="248" w:type="dxa"/>
        <w:tblCellMar>
          <w:top w:w="0" w:type="dxa"/>
          <w:left w:w="0" w:type="dxa"/>
          <w:bottom w:w="0" w:type="dxa"/>
          <w:right w:w="0" w:type="dxa"/>
        </w:tblCellMar>
      </w:tblPr>
      <w:tr>
        <w:trPr>
          <w:trHeight w:val="144"/>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2"/>
                <w:szCs w:val="12"/>
                <w:b w:val="1"/>
                <w:bCs w:val="1"/>
                <w:color w:val="05445E"/>
                <w:w w:val="99"/>
              </w:rPr>
              <w:t>Amount and</w:t>
            </w: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2"/>
                <w:szCs w:val="12"/>
                <w:b w:val="1"/>
                <w:bCs w:val="1"/>
                <w:color w:val="05445E"/>
                <w:w w:val="99"/>
              </w:rPr>
              <w:t>Nature</w:t>
            </w: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2"/>
                <w:szCs w:val="12"/>
                <w:b w:val="1"/>
                <w:bCs w:val="1"/>
                <w:color w:val="05445E"/>
              </w:rPr>
              <w:t>of Beneficial</w:t>
            </w:r>
          </w:p>
        </w:tc>
        <w:tc>
          <w:tcPr>
            <w:tcW w:w="440" w:type="dxa"/>
            <w:vAlign w:val="bottom"/>
          </w:tcPr>
          <w:p>
            <w:pPr>
              <w:spacing w:after="0"/>
              <w:rPr>
                <w:sz w:val="12"/>
                <w:szCs w:val="12"/>
                <w:color w:val="auto"/>
              </w:rPr>
            </w:pPr>
          </w:p>
        </w:tc>
        <w:tc>
          <w:tcPr>
            <w:tcW w:w="2060" w:type="dxa"/>
            <w:vAlign w:val="bottom"/>
          </w:tcPr>
          <w:p>
            <w:pPr>
              <w:ind w:left="800"/>
              <w:spacing w:after="0"/>
              <w:rPr>
                <w:sz w:val="20"/>
                <w:szCs w:val="20"/>
                <w:color w:val="auto"/>
              </w:rPr>
            </w:pPr>
            <w:r>
              <w:rPr>
                <w:rFonts w:ascii="Arial" w:cs="Arial" w:eastAsia="Arial" w:hAnsi="Arial"/>
                <w:sz w:val="12"/>
                <w:szCs w:val="12"/>
                <w:b w:val="1"/>
                <w:bCs w:val="1"/>
                <w:color w:val="05445E"/>
              </w:rPr>
              <w:t>Percent</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2"/>
                <w:szCs w:val="12"/>
                <w:b w:val="1"/>
                <w:bCs w:val="1"/>
                <w:color w:val="05445E"/>
                <w:w w:val="99"/>
              </w:rPr>
              <w:t>Ownership</w:t>
            </w:r>
          </w:p>
        </w:tc>
        <w:tc>
          <w:tcPr>
            <w:tcW w:w="440" w:type="dxa"/>
            <w:vAlign w:val="bottom"/>
          </w:tcPr>
          <w:p>
            <w:pPr>
              <w:spacing w:after="0"/>
              <w:rPr>
                <w:sz w:val="12"/>
                <w:szCs w:val="12"/>
                <w:color w:val="auto"/>
              </w:rPr>
            </w:pPr>
          </w:p>
        </w:tc>
        <w:tc>
          <w:tcPr>
            <w:tcW w:w="2060" w:type="dxa"/>
            <w:vAlign w:val="bottom"/>
          </w:tcPr>
          <w:p>
            <w:pPr>
              <w:ind w:left="780"/>
              <w:spacing w:after="0"/>
              <w:rPr>
                <w:sz w:val="20"/>
                <w:szCs w:val="20"/>
                <w:color w:val="auto"/>
              </w:rPr>
            </w:pPr>
            <w:r>
              <w:rPr>
                <w:rFonts w:ascii="Arial" w:cs="Arial" w:eastAsia="Arial" w:hAnsi="Arial"/>
                <w:sz w:val="12"/>
                <w:szCs w:val="12"/>
                <w:b w:val="1"/>
                <w:bCs w:val="1"/>
                <w:color w:val="05445E"/>
              </w:rPr>
              <w:t>of Class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05445E"/>
              </w:rPr>
              <w:t>Name of Beneficial Owner</w:t>
            </w:r>
          </w:p>
        </w:tc>
        <w:tc>
          <w:tcPr>
            <w:tcW w:w="80" w:type="dxa"/>
            <w:vAlign w:val="bottom"/>
          </w:tcPr>
          <w:p>
            <w:pPr>
              <w:spacing w:after="0"/>
              <w:rPr>
                <w:sz w:val="15"/>
                <w:szCs w:val="15"/>
                <w:color w:val="auto"/>
              </w:rPr>
            </w:pPr>
          </w:p>
        </w:tc>
        <w:tc>
          <w:tcPr>
            <w:tcW w:w="21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20"/>
                <w:szCs w:val="20"/>
                <w:b w:val="1"/>
                <w:bCs w:val="1"/>
                <w:color w:val="05445E"/>
                <w:vertAlign w:val="subscript"/>
              </w:rPr>
              <w:t>(#)</w:t>
            </w:r>
            <w:r>
              <w:rPr>
                <w:rFonts w:ascii="Arial" w:cs="Arial" w:eastAsia="Arial" w:hAnsi="Arial"/>
                <w:sz w:val="7"/>
                <w:szCs w:val="7"/>
                <w:b w:val="1"/>
                <w:bCs w:val="1"/>
                <w:color w:val="05445E"/>
              </w:rPr>
              <w:t>(1)(2)</w:t>
            </w:r>
          </w:p>
        </w:tc>
        <w:tc>
          <w:tcPr>
            <w:tcW w:w="4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rPr>
              <w:t>(%)</w:t>
            </w:r>
          </w:p>
        </w:tc>
        <w:tc>
          <w:tcPr>
            <w:tcW w:w="0" w:type="dxa"/>
            <w:vAlign w:val="bottom"/>
          </w:tcPr>
          <w:p>
            <w:pPr>
              <w:spacing w:after="0"/>
              <w:rPr>
                <w:sz w:val="1"/>
                <w:szCs w:val="1"/>
                <w:color w:val="auto"/>
              </w:rPr>
            </w:pPr>
          </w:p>
        </w:tc>
      </w:tr>
      <w:tr>
        <w:trPr>
          <w:trHeight w:val="124"/>
        </w:trPr>
        <w:tc>
          <w:tcPr>
            <w:tcW w:w="618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Non-Employee Directors</w:t>
            </w:r>
          </w:p>
        </w:tc>
        <w:tc>
          <w:tcPr>
            <w:tcW w:w="2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180" w:type="dxa"/>
            <w:vAlign w:val="bottom"/>
            <w:gridSpan w:val="4"/>
            <w:shd w:val="clear" w:color="auto" w:fill="D9D9D9"/>
          </w:tcPr>
          <w:p>
            <w:pPr>
              <w:spacing w:after="0"/>
              <w:rPr>
                <w:sz w:val="20"/>
                <w:szCs w:val="20"/>
                <w:color w:val="auto"/>
              </w:rPr>
            </w:pPr>
            <w:r>
              <w:rPr>
                <w:rFonts w:ascii="Arial" w:cs="Arial" w:eastAsia="Arial" w:hAnsi="Arial"/>
                <w:sz w:val="12"/>
                <w:szCs w:val="12"/>
                <w:color w:val="auto"/>
              </w:rPr>
              <w:t>Christina M. Alvord</w:t>
            </w:r>
          </w:p>
        </w:tc>
        <w:tc>
          <w:tcPr>
            <w:tcW w:w="2140" w:type="dxa"/>
            <w:vAlign w:val="bottom"/>
            <w:shd w:val="clear" w:color="auto" w:fill="D9D9D9"/>
          </w:tcPr>
          <w:p>
            <w:pPr>
              <w:jc w:val="right"/>
              <w:ind w:right="421"/>
              <w:spacing w:after="0"/>
              <w:rPr>
                <w:sz w:val="20"/>
                <w:szCs w:val="20"/>
                <w:color w:val="auto"/>
              </w:rPr>
            </w:pPr>
            <w:r>
              <w:rPr>
                <w:rFonts w:ascii="Arial" w:cs="Arial" w:eastAsia="Arial" w:hAnsi="Arial"/>
                <w:sz w:val="12"/>
                <w:szCs w:val="12"/>
                <w:color w:val="auto"/>
              </w:rPr>
              <w:t>9,113</w:t>
            </w:r>
          </w:p>
        </w:tc>
        <w:tc>
          <w:tcPr>
            <w:tcW w:w="440" w:type="dxa"/>
            <w:vAlign w:val="bottom"/>
            <w:shd w:val="clear" w:color="auto" w:fill="D9D9D9"/>
          </w:tcPr>
          <w:p>
            <w:pPr>
              <w:spacing w:after="0"/>
              <w:rPr>
                <w:sz w:val="15"/>
                <w:szCs w:val="15"/>
                <w:color w:val="auto"/>
              </w:rPr>
            </w:pPr>
          </w:p>
        </w:tc>
        <w:tc>
          <w:tcPr>
            <w:tcW w:w="206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72"/>
        </w:trPr>
        <w:tc>
          <w:tcPr>
            <w:tcW w:w="6180" w:type="dxa"/>
            <w:vAlign w:val="bottom"/>
            <w:gridSpan w:val="4"/>
          </w:tcPr>
          <w:p>
            <w:pPr>
              <w:spacing w:after="0"/>
              <w:rPr>
                <w:sz w:val="20"/>
                <w:szCs w:val="20"/>
                <w:color w:val="auto"/>
              </w:rPr>
            </w:pPr>
            <w:r>
              <w:rPr>
                <w:rFonts w:ascii="Arial" w:cs="Arial" w:eastAsia="Arial" w:hAnsi="Arial"/>
                <w:sz w:val="12"/>
                <w:szCs w:val="12"/>
                <w:color w:val="auto"/>
              </w:rPr>
              <w:t>Lloyd E. Johnson</w:t>
            </w:r>
          </w:p>
        </w:tc>
        <w:tc>
          <w:tcPr>
            <w:tcW w:w="2140" w:type="dxa"/>
            <w:vAlign w:val="bottom"/>
          </w:tcPr>
          <w:p>
            <w:pPr>
              <w:jc w:val="right"/>
              <w:ind w:right="421"/>
              <w:spacing w:after="0"/>
              <w:rPr>
                <w:sz w:val="20"/>
                <w:szCs w:val="20"/>
                <w:color w:val="auto"/>
              </w:rPr>
            </w:pPr>
            <w:r>
              <w:rPr>
                <w:rFonts w:ascii="Arial" w:cs="Arial" w:eastAsia="Arial" w:hAnsi="Arial"/>
                <w:sz w:val="12"/>
                <w:szCs w:val="12"/>
                <w:color w:val="auto"/>
              </w:rPr>
              <w:t>10,014</w:t>
            </w:r>
          </w:p>
        </w:tc>
        <w:tc>
          <w:tcPr>
            <w:tcW w:w="4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88"/>
        </w:trPr>
        <w:tc>
          <w:tcPr>
            <w:tcW w:w="6180" w:type="dxa"/>
            <w:vAlign w:val="bottom"/>
            <w:gridSpan w:val="4"/>
            <w:shd w:val="clear" w:color="auto" w:fill="D9D9D9"/>
          </w:tcPr>
          <w:p>
            <w:pPr>
              <w:spacing w:after="0"/>
              <w:rPr>
                <w:sz w:val="20"/>
                <w:szCs w:val="20"/>
                <w:color w:val="auto"/>
              </w:rPr>
            </w:pPr>
            <w:r>
              <w:rPr>
                <w:rFonts w:ascii="Arial" w:cs="Arial" w:eastAsia="Arial" w:hAnsi="Arial"/>
                <w:sz w:val="12"/>
                <w:szCs w:val="12"/>
                <w:color w:val="auto"/>
              </w:rPr>
              <w:t>Elizabeth M. Lilly</w:t>
            </w:r>
          </w:p>
        </w:tc>
        <w:tc>
          <w:tcPr>
            <w:tcW w:w="2140" w:type="dxa"/>
            <w:vAlign w:val="bottom"/>
            <w:shd w:val="clear" w:color="auto" w:fill="D9D9D9"/>
          </w:tcPr>
          <w:p>
            <w:pPr>
              <w:jc w:val="right"/>
              <w:ind w:right="421"/>
              <w:spacing w:after="0"/>
              <w:rPr>
                <w:sz w:val="20"/>
                <w:szCs w:val="20"/>
                <w:color w:val="auto"/>
              </w:rPr>
            </w:pPr>
            <w:r>
              <w:rPr>
                <w:rFonts w:ascii="Arial" w:cs="Arial" w:eastAsia="Arial" w:hAnsi="Arial"/>
                <w:sz w:val="12"/>
                <w:szCs w:val="12"/>
                <w:color w:val="auto"/>
              </w:rPr>
              <w:t>12,488</w:t>
            </w:r>
          </w:p>
        </w:tc>
        <w:tc>
          <w:tcPr>
            <w:tcW w:w="440" w:type="dxa"/>
            <w:vAlign w:val="bottom"/>
            <w:shd w:val="clear" w:color="auto" w:fill="D9D9D9"/>
          </w:tcPr>
          <w:p>
            <w:pPr>
              <w:spacing w:after="0"/>
              <w:rPr>
                <w:sz w:val="16"/>
                <w:szCs w:val="16"/>
                <w:color w:val="auto"/>
              </w:rPr>
            </w:pPr>
          </w:p>
        </w:tc>
        <w:tc>
          <w:tcPr>
            <w:tcW w:w="206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72"/>
        </w:trPr>
        <w:tc>
          <w:tcPr>
            <w:tcW w:w="6180" w:type="dxa"/>
            <w:vAlign w:val="bottom"/>
            <w:gridSpan w:val="4"/>
          </w:tcPr>
          <w:p>
            <w:pPr>
              <w:spacing w:after="0"/>
              <w:rPr>
                <w:sz w:val="20"/>
                <w:szCs w:val="20"/>
                <w:color w:val="auto"/>
              </w:rPr>
            </w:pPr>
            <w:r>
              <w:rPr>
                <w:rFonts w:ascii="Arial" w:cs="Arial" w:eastAsia="Arial" w:hAnsi="Arial"/>
                <w:sz w:val="12"/>
                <w:szCs w:val="12"/>
                <w:color w:val="auto"/>
              </w:rPr>
              <w:t>Herbert K. Parker</w:t>
            </w:r>
          </w:p>
        </w:tc>
        <w:tc>
          <w:tcPr>
            <w:tcW w:w="2140" w:type="dxa"/>
            <w:vAlign w:val="bottom"/>
          </w:tcPr>
          <w:p>
            <w:pPr>
              <w:jc w:val="right"/>
              <w:ind w:right="421"/>
              <w:spacing w:after="0"/>
              <w:rPr>
                <w:sz w:val="20"/>
                <w:szCs w:val="20"/>
                <w:color w:val="auto"/>
              </w:rPr>
            </w:pPr>
            <w:r>
              <w:rPr>
                <w:rFonts w:ascii="Arial" w:cs="Arial" w:eastAsia="Arial" w:hAnsi="Arial"/>
                <w:sz w:val="12"/>
                <w:szCs w:val="12"/>
                <w:color w:val="auto"/>
              </w:rPr>
              <w:t>13,483</w:t>
            </w:r>
          </w:p>
        </w:tc>
        <w:tc>
          <w:tcPr>
            <w:tcW w:w="4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88"/>
        </w:trPr>
        <w:tc>
          <w:tcPr>
            <w:tcW w:w="6180" w:type="dxa"/>
            <w:vAlign w:val="bottom"/>
            <w:gridSpan w:val="4"/>
            <w:shd w:val="clear" w:color="auto" w:fill="D9D9D9"/>
          </w:tcPr>
          <w:p>
            <w:pPr>
              <w:spacing w:after="0"/>
              <w:rPr>
                <w:sz w:val="20"/>
                <w:szCs w:val="20"/>
                <w:color w:val="auto"/>
              </w:rPr>
            </w:pPr>
            <w:r>
              <w:rPr>
                <w:rFonts w:ascii="Arial" w:cs="Arial" w:eastAsia="Arial" w:hAnsi="Arial"/>
                <w:sz w:val="12"/>
                <w:szCs w:val="12"/>
                <w:color w:val="auto"/>
              </w:rPr>
              <w:t>Mark A. Pompa</w:t>
            </w:r>
          </w:p>
        </w:tc>
        <w:tc>
          <w:tcPr>
            <w:tcW w:w="2140" w:type="dxa"/>
            <w:vAlign w:val="bottom"/>
            <w:shd w:val="clear" w:color="auto" w:fill="D9D9D9"/>
          </w:tcPr>
          <w:p>
            <w:pPr>
              <w:jc w:val="right"/>
              <w:ind w:right="561"/>
              <w:spacing w:after="0"/>
              <w:rPr>
                <w:sz w:val="20"/>
                <w:szCs w:val="20"/>
                <w:color w:val="auto"/>
              </w:rPr>
            </w:pPr>
            <w:r>
              <w:rPr>
                <w:rFonts w:ascii="Arial" w:cs="Arial" w:eastAsia="Arial" w:hAnsi="Arial"/>
                <w:sz w:val="12"/>
                <w:szCs w:val="12"/>
                <w:color w:val="auto"/>
              </w:rPr>
              <w:t>—</w:t>
            </w:r>
          </w:p>
        </w:tc>
        <w:tc>
          <w:tcPr>
            <w:tcW w:w="440" w:type="dxa"/>
            <w:vAlign w:val="bottom"/>
            <w:shd w:val="clear" w:color="auto" w:fill="D9D9D9"/>
          </w:tcPr>
          <w:p>
            <w:pPr>
              <w:spacing w:after="0"/>
              <w:rPr>
                <w:sz w:val="16"/>
                <w:szCs w:val="16"/>
                <w:color w:val="auto"/>
              </w:rPr>
            </w:pPr>
          </w:p>
        </w:tc>
        <w:tc>
          <w:tcPr>
            <w:tcW w:w="206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64"/>
        </w:trPr>
        <w:tc>
          <w:tcPr>
            <w:tcW w:w="6180" w:type="dxa"/>
            <w:vAlign w:val="bottom"/>
            <w:gridSpan w:val="4"/>
          </w:tcPr>
          <w:p>
            <w:pPr>
              <w:spacing w:after="0"/>
              <w:rPr>
                <w:sz w:val="20"/>
                <w:szCs w:val="20"/>
                <w:color w:val="auto"/>
              </w:rPr>
            </w:pPr>
            <w:r>
              <w:rPr>
                <w:rFonts w:ascii="Arial" w:cs="Arial" w:eastAsia="Arial" w:hAnsi="Arial"/>
                <w:sz w:val="12"/>
                <w:szCs w:val="12"/>
                <w:color w:val="auto"/>
              </w:rPr>
              <w:t>Patricia K. Wagner</w:t>
            </w:r>
          </w:p>
        </w:tc>
        <w:tc>
          <w:tcPr>
            <w:tcW w:w="2140" w:type="dxa"/>
            <w:vAlign w:val="bottom"/>
          </w:tcPr>
          <w:p>
            <w:pPr>
              <w:jc w:val="right"/>
              <w:ind w:right="421"/>
              <w:spacing w:after="0"/>
              <w:rPr>
                <w:sz w:val="20"/>
                <w:szCs w:val="20"/>
                <w:color w:val="auto"/>
              </w:rPr>
            </w:pPr>
            <w:r>
              <w:rPr>
                <w:rFonts w:ascii="Arial" w:cs="Arial" w:eastAsia="Arial" w:hAnsi="Arial"/>
                <w:sz w:val="12"/>
                <w:szCs w:val="12"/>
                <w:color w:val="auto"/>
              </w:rPr>
              <w:t>27,577</w:t>
            </w:r>
          </w:p>
        </w:tc>
        <w:tc>
          <w:tcPr>
            <w:tcW w:w="4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51"/>
        </w:trPr>
        <w:tc>
          <w:tcPr>
            <w:tcW w:w="6180" w:type="dxa"/>
            <w:vAlign w:val="bottom"/>
            <w:gridSpan w:val="4"/>
          </w:tcPr>
          <w:p>
            <w:pPr>
              <w:spacing w:after="0"/>
              <w:rPr>
                <w:sz w:val="20"/>
                <w:szCs w:val="20"/>
                <w:color w:val="auto"/>
              </w:rPr>
            </w:pPr>
            <w:r>
              <w:rPr>
                <w:rFonts w:ascii="Arial" w:cs="Arial" w:eastAsia="Arial" w:hAnsi="Arial"/>
                <w:sz w:val="12"/>
                <w:szCs w:val="12"/>
                <w:b w:val="1"/>
                <w:bCs w:val="1"/>
                <w:color w:val="auto"/>
              </w:rPr>
              <w:t>Named Executive Officers</w:t>
            </w:r>
          </w:p>
        </w:tc>
        <w:tc>
          <w:tcPr>
            <w:tcW w:w="2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6180" w:type="dxa"/>
            <w:vAlign w:val="bottom"/>
            <w:gridSpan w:val="4"/>
            <w:vMerge w:val="restart"/>
            <w:shd w:val="clear" w:color="auto" w:fill="D9D9D9"/>
          </w:tcPr>
          <w:p>
            <w:pPr>
              <w:spacing w:after="0"/>
              <w:rPr>
                <w:sz w:val="20"/>
                <w:szCs w:val="20"/>
                <w:color w:val="auto"/>
              </w:rPr>
            </w:pPr>
            <w:r>
              <w:rPr>
                <w:rFonts w:ascii="Arial" w:cs="Arial" w:eastAsia="Arial" w:hAnsi="Arial"/>
                <w:sz w:val="12"/>
                <w:szCs w:val="12"/>
                <w:color w:val="auto"/>
              </w:rPr>
              <w:t>Donald A. Nolan</w:t>
            </w:r>
          </w:p>
        </w:tc>
        <w:tc>
          <w:tcPr>
            <w:tcW w:w="2140" w:type="dxa"/>
            <w:vAlign w:val="bottom"/>
            <w:vMerge w:val="restart"/>
            <w:shd w:val="clear" w:color="auto" w:fill="D9D9D9"/>
          </w:tcPr>
          <w:p>
            <w:pPr>
              <w:jc w:val="right"/>
              <w:ind w:right="421"/>
              <w:spacing w:after="0"/>
              <w:rPr>
                <w:sz w:val="20"/>
                <w:szCs w:val="20"/>
                <w:color w:val="auto"/>
              </w:rPr>
            </w:pPr>
            <w:r>
              <w:rPr>
                <w:rFonts w:ascii="Arial" w:cs="Arial" w:eastAsia="Arial" w:hAnsi="Arial"/>
                <w:sz w:val="12"/>
                <w:szCs w:val="12"/>
                <w:color w:val="auto"/>
              </w:rPr>
              <w:t>15,433</w:t>
            </w:r>
          </w:p>
        </w:tc>
        <w:tc>
          <w:tcPr>
            <w:tcW w:w="440" w:type="dxa"/>
            <w:vAlign w:val="bottom"/>
            <w:shd w:val="clear" w:color="auto" w:fill="D9D9D9"/>
          </w:tcPr>
          <w:p>
            <w:pPr>
              <w:jc w:val="right"/>
              <w:ind w:right="201"/>
              <w:spacing w:after="0"/>
              <w:rPr>
                <w:sz w:val="20"/>
                <w:szCs w:val="20"/>
                <w:color w:val="auto"/>
              </w:rPr>
            </w:pPr>
            <w:r>
              <w:rPr>
                <w:rFonts w:ascii="Arial" w:cs="Arial" w:eastAsia="Arial" w:hAnsi="Arial"/>
                <w:sz w:val="8"/>
                <w:szCs w:val="8"/>
                <w:color w:val="auto"/>
              </w:rPr>
              <w:t>(3)</w:t>
            </w:r>
          </w:p>
        </w:tc>
        <w:tc>
          <w:tcPr>
            <w:tcW w:w="206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79"/>
        </w:trPr>
        <w:tc>
          <w:tcPr>
            <w:tcW w:w="6180" w:type="dxa"/>
            <w:vAlign w:val="bottom"/>
            <w:gridSpan w:val="4"/>
            <w:vMerge w:val="continue"/>
            <w:shd w:val="clear" w:color="auto" w:fill="D9D9D9"/>
          </w:tcPr>
          <w:p>
            <w:pPr>
              <w:spacing w:after="0"/>
              <w:rPr>
                <w:sz w:val="6"/>
                <w:szCs w:val="6"/>
                <w:color w:val="auto"/>
              </w:rPr>
            </w:pPr>
          </w:p>
        </w:tc>
        <w:tc>
          <w:tcPr>
            <w:tcW w:w="2140" w:type="dxa"/>
            <w:vAlign w:val="bottom"/>
            <w:vMerge w:val="continue"/>
            <w:shd w:val="clear" w:color="auto" w:fill="D9D9D9"/>
          </w:tcPr>
          <w:p>
            <w:pPr>
              <w:spacing w:after="0"/>
              <w:rPr>
                <w:sz w:val="6"/>
                <w:szCs w:val="6"/>
                <w:color w:val="auto"/>
              </w:rPr>
            </w:pPr>
          </w:p>
        </w:tc>
        <w:tc>
          <w:tcPr>
            <w:tcW w:w="440" w:type="dxa"/>
            <w:vAlign w:val="bottom"/>
            <w:shd w:val="clear" w:color="auto" w:fill="D9D9D9"/>
          </w:tcPr>
          <w:p>
            <w:pPr>
              <w:spacing w:after="0"/>
              <w:rPr>
                <w:sz w:val="6"/>
                <w:szCs w:val="6"/>
                <w:color w:val="auto"/>
              </w:rPr>
            </w:pPr>
          </w:p>
        </w:tc>
        <w:tc>
          <w:tcPr>
            <w:tcW w:w="206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180" w:type="dxa"/>
            <w:vAlign w:val="bottom"/>
            <w:gridSpan w:val="4"/>
          </w:tcPr>
          <w:p>
            <w:pPr>
              <w:spacing w:after="0"/>
              <w:rPr>
                <w:sz w:val="20"/>
                <w:szCs w:val="20"/>
                <w:color w:val="auto"/>
              </w:rPr>
            </w:pPr>
            <w:r>
              <w:rPr>
                <w:rFonts w:ascii="Arial" w:cs="Arial" w:eastAsia="Arial" w:hAnsi="Arial"/>
                <w:sz w:val="12"/>
                <w:szCs w:val="12"/>
                <w:color w:val="auto"/>
              </w:rPr>
              <w:t>Mark R. Augdahl</w:t>
            </w:r>
          </w:p>
        </w:tc>
        <w:tc>
          <w:tcPr>
            <w:tcW w:w="2140" w:type="dxa"/>
            <w:vAlign w:val="bottom"/>
          </w:tcPr>
          <w:p>
            <w:pPr>
              <w:jc w:val="right"/>
              <w:ind w:right="421"/>
              <w:spacing w:after="0"/>
              <w:rPr>
                <w:sz w:val="20"/>
                <w:szCs w:val="20"/>
                <w:color w:val="auto"/>
              </w:rPr>
            </w:pPr>
            <w:r>
              <w:rPr>
                <w:rFonts w:ascii="Arial" w:cs="Arial" w:eastAsia="Arial" w:hAnsi="Arial"/>
                <w:sz w:val="12"/>
                <w:szCs w:val="12"/>
                <w:color w:val="auto"/>
              </w:rPr>
              <w:t>44,458</w:t>
            </w:r>
          </w:p>
        </w:tc>
        <w:tc>
          <w:tcPr>
            <w:tcW w:w="4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88"/>
        </w:trPr>
        <w:tc>
          <w:tcPr>
            <w:tcW w:w="6180" w:type="dxa"/>
            <w:vAlign w:val="bottom"/>
            <w:gridSpan w:val="4"/>
            <w:shd w:val="clear" w:color="auto" w:fill="D9D9D9"/>
          </w:tcPr>
          <w:p>
            <w:pPr>
              <w:spacing w:after="0"/>
              <w:rPr>
                <w:sz w:val="20"/>
                <w:szCs w:val="20"/>
                <w:color w:val="auto"/>
              </w:rPr>
            </w:pPr>
            <w:r>
              <w:rPr>
                <w:rFonts w:ascii="Arial" w:cs="Arial" w:eastAsia="Arial" w:hAnsi="Arial"/>
                <w:sz w:val="12"/>
                <w:szCs w:val="12"/>
                <w:color w:val="auto"/>
              </w:rPr>
              <w:t>Troy R. Johnson</w:t>
            </w:r>
          </w:p>
        </w:tc>
        <w:tc>
          <w:tcPr>
            <w:tcW w:w="2140" w:type="dxa"/>
            <w:vAlign w:val="bottom"/>
            <w:shd w:val="clear" w:color="auto" w:fill="D9D9D9"/>
          </w:tcPr>
          <w:p>
            <w:pPr>
              <w:jc w:val="right"/>
              <w:ind w:right="421"/>
              <w:spacing w:after="0"/>
              <w:rPr>
                <w:sz w:val="20"/>
                <w:szCs w:val="20"/>
                <w:color w:val="auto"/>
              </w:rPr>
            </w:pPr>
            <w:r>
              <w:rPr>
                <w:rFonts w:ascii="Arial" w:cs="Arial" w:eastAsia="Arial" w:hAnsi="Arial"/>
                <w:sz w:val="12"/>
                <w:szCs w:val="12"/>
                <w:color w:val="auto"/>
              </w:rPr>
              <w:t>75,317</w:t>
            </w:r>
          </w:p>
        </w:tc>
        <w:tc>
          <w:tcPr>
            <w:tcW w:w="440" w:type="dxa"/>
            <w:vAlign w:val="bottom"/>
            <w:shd w:val="clear" w:color="auto" w:fill="D9D9D9"/>
          </w:tcPr>
          <w:p>
            <w:pPr>
              <w:spacing w:after="0"/>
              <w:rPr>
                <w:sz w:val="16"/>
                <w:szCs w:val="16"/>
                <w:color w:val="auto"/>
              </w:rPr>
            </w:pPr>
          </w:p>
        </w:tc>
        <w:tc>
          <w:tcPr>
            <w:tcW w:w="206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72"/>
        </w:trPr>
        <w:tc>
          <w:tcPr>
            <w:tcW w:w="6180" w:type="dxa"/>
            <w:vAlign w:val="bottom"/>
            <w:gridSpan w:val="4"/>
          </w:tcPr>
          <w:p>
            <w:pPr>
              <w:spacing w:after="0"/>
              <w:rPr>
                <w:sz w:val="20"/>
                <w:szCs w:val="20"/>
                <w:color w:val="auto"/>
              </w:rPr>
            </w:pPr>
            <w:r>
              <w:rPr>
                <w:rFonts w:ascii="Arial" w:cs="Arial" w:eastAsia="Arial" w:hAnsi="Arial"/>
                <w:sz w:val="12"/>
                <w:szCs w:val="12"/>
                <w:color w:val="auto"/>
              </w:rPr>
              <w:t>Veena M. Lakkundi</w:t>
            </w:r>
          </w:p>
        </w:tc>
        <w:tc>
          <w:tcPr>
            <w:tcW w:w="2140" w:type="dxa"/>
            <w:vAlign w:val="bottom"/>
          </w:tcPr>
          <w:p>
            <w:pPr>
              <w:jc w:val="right"/>
              <w:ind w:right="421"/>
              <w:spacing w:after="0"/>
              <w:rPr>
                <w:sz w:val="20"/>
                <w:szCs w:val="20"/>
                <w:color w:val="auto"/>
              </w:rPr>
            </w:pPr>
            <w:r>
              <w:rPr>
                <w:rFonts w:ascii="Arial" w:cs="Arial" w:eastAsia="Arial" w:hAnsi="Arial"/>
                <w:sz w:val="12"/>
                <w:szCs w:val="12"/>
                <w:color w:val="auto"/>
              </w:rPr>
              <w:t>40,464</w:t>
            </w:r>
          </w:p>
        </w:tc>
        <w:tc>
          <w:tcPr>
            <w:tcW w:w="4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09"/>
        </w:trPr>
        <w:tc>
          <w:tcPr>
            <w:tcW w:w="6180" w:type="dxa"/>
            <w:vAlign w:val="bottom"/>
            <w:gridSpan w:val="4"/>
            <w:vMerge w:val="restart"/>
            <w:shd w:val="clear" w:color="auto" w:fill="D9D9D9"/>
          </w:tcPr>
          <w:p>
            <w:pPr>
              <w:spacing w:after="0"/>
              <w:rPr>
                <w:sz w:val="20"/>
                <w:szCs w:val="20"/>
                <w:color w:val="auto"/>
              </w:rPr>
            </w:pPr>
            <w:r>
              <w:rPr>
                <w:rFonts w:ascii="Arial" w:cs="Arial" w:eastAsia="Arial" w:hAnsi="Arial"/>
                <w:sz w:val="12"/>
                <w:szCs w:val="12"/>
                <w:color w:val="auto"/>
              </w:rPr>
              <w:t>Brent C. Jewell</w:t>
            </w:r>
          </w:p>
        </w:tc>
        <w:tc>
          <w:tcPr>
            <w:tcW w:w="2140" w:type="dxa"/>
            <w:vAlign w:val="bottom"/>
            <w:vMerge w:val="restart"/>
            <w:shd w:val="clear" w:color="auto" w:fill="D9D9D9"/>
          </w:tcPr>
          <w:p>
            <w:pPr>
              <w:jc w:val="right"/>
              <w:ind w:right="421"/>
              <w:spacing w:after="0"/>
              <w:rPr>
                <w:sz w:val="20"/>
                <w:szCs w:val="20"/>
                <w:color w:val="auto"/>
              </w:rPr>
            </w:pPr>
            <w:r>
              <w:rPr>
                <w:rFonts w:ascii="Arial" w:cs="Arial" w:eastAsia="Arial" w:hAnsi="Arial"/>
                <w:sz w:val="12"/>
                <w:szCs w:val="12"/>
                <w:color w:val="auto"/>
              </w:rPr>
              <w:t>54,662</w:t>
            </w:r>
          </w:p>
        </w:tc>
        <w:tc>
          <w:tcPr>
            <w:tcW w:w="440" w:type="dxa"/>
            <w:vAlign w:val="bottom"/>
            <w:shd w:val="clear" w:color="auto" w:fill="D9D9D9"/>
          </w:tcPr>
          <w:p>
            <w:pPr>
              <w:jc w:val="right"/>
              <w:ind w:right="201"/>
              <w:spacing w:after="0"/>
              <w:rPr>
                <w:sz w:val="20"/>
                <w:szCs w:val="20"/>
                <w:color w:val="auto"/>
              </w:rPr>
            </w:pPr>
            <w:r>
              <w:rPr>
                <w:rFonts w:ascii="Arial" w:cs="Arial" w:eastAsia="Arial" w:hAnsi="Arial"/>
                <w:sz w:val="8"/>
                <w:szCs w:val="8"/>
                <w:color w:val="auto"/>
              </w:rPr>
              <w:t>(4)</w:t>
            </w:r>
          </w:p>
        </w:tc>
        <w:tc>
          <w:tcPr>
            <w:tcW w:w="206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79"/>
        </w:trPr>
        <w:tc>
          <w:tcPr>
            <w:tcW w:w="6180" w:type="dxa"/>
            <w:vAlign w:val="bottom"/>
            <w:gridSpan w:val="4"/>
            <w:vMerge w:val="continue"/>
            <w:shd w:val="clear" w:color="auto" w:fill="D9D9D9"/>
          </w:tcPr>
          <w:p>
            <w:pPr>
              <w:spacing w:after="0"/>
              <w:rPr>
                <w:sz w:val="6"/>
                <w:szCs w:val="6"/>
                <w:color w:val="auto"/>
              </w:rPr>
            </w:pPr>
          </w:p>
        </w:tc>
        <w:tc>
          <w:tcPr>
            <w:tcW w:w="2140" w:type="dxa"/>
            <w:vAlign w:val="bottom"/>
            <w:vMerge w:val="continue"/>
            <w:shd w:val="clear" w:color="auto" w:fill="D9D9D9"/>
          </w:tcPr>
          <w:p>
            <w:pPr>
              <w:spacing w:after="0"/>
              <w:rPr>
                <w:sz w:val="6"/>
                <w:szCs w:val="6"/>
                <w:color w:val="auto"/>
              </w:rPr>
            </w:pPr>
          </w:p>
        </w:tc>
        <w:tc>
          <w:tcPr>
            <w:tcW w:w="440" w:type="dxa"/>
            <w:vAlign w:val="bottom"/>
            <w:shd w:val="clear" w:color="auto" w:fill="D9D9D9"/>
          </w:tcPr>
          <w:p>
            <w:pPr>
              <w:spacing w:after="0"/>
              <w:rPr>
                <w:sz w:val="6"/>
                <w:szCs w:val="6"/>
                <w:color w:val="auto"/>
              </w:rPr>
            </w:pPr>
          </w:p>
        </w:tc>
        <w:tc>
          <w:tcPr>
            <w:tcW w:w="206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180" w:type="dxa"/>
            <w:vAlign w:val="bottom"/>
            <w:gridSpan w:val="4"/>
            <w:vMerge w:val="restart"/>
          </w:tcPr>
          <w:p>
            <w:pPr>
              <w:spacing w:after="0"/>
              <w:rPr>
                <w:sz w:val="20"/>
                <w:szCs w:val="20"/>
                <w:color w:val="auto"/>
              </w:rPr>
            </w:pPr>
            <w:r>
              <w:rPr>
                <w:rFonts w:ascii="Arial" w:cs="Arial" w:eastAsia="Arial" w:hAnsi="Arial"/>
                <w:sz w:val="12"/>
                <w:szCs w:val="12"/>
                <w:color w:val="auto"/>
              </w:rPr>
              <w:t>Ty R. Silberhorn</w:t>
            </w:r>
          </w:p>
        </w:tc>
        <w:tc>
          <w:tcPr>
            <w:tcW w:w="2140" w:type="dxa"/>
            <w:vAlign w:val="bottom"/>
            <w:vMerge w:val="restart"/>
          </w:tcPr>
          <w:p>
            <w:pPr>
              <w:jc w:val="right"/>
              <w:ind w:right="421"/>
              <w:spacing w:after="0"/>
              <w:rPr>
                <w:sz w:val="20"/>
                <w:szCs w:val="20"/>
                <w:color w:val="auto"/>
              </w:rPr>
            </w:pPr>
            <w:r>
              <w:rPr>
                <w:rFonts w:ascii="Arial" w:cs="Arial" w:eastAsia="Arial" w:hAnsi="Arial"/>
                <w:sz w:val="12"/>
                <w:szCs w:val="12"/>
                <w:color w:val="auto"/>
              </w:rPr>
              <w:t>139,562</w:t>
            </w:r>
          </w:p>
        </w:tc>
        <w:tc>
          <w:tcPr>
            <w:tcW w:w="440" w:type="dxa"/>
            <w:vAlign w:val="bottom"/>
          </w:tcPr>
          <w:p>
            <w:pPr>
              <w:jc w:val="right"/>
              <w:ind w:right="201"/>
              <w:spacing w:after="0"/>
              <w:rPr>
                <w:sz w:val="20"/>
                <w:szCs w:val="20"/>
                <w:color w:val="auto"/>
              </w:rPr>
            </w:pPr>
            <w:r>
              <w:rPr>
                <w:rFonts w:ascii="Arial" w:cs="Arial" w:eastAsia="Arial" w:hAnsi="Arial"/>
                <w:sz w:val="8"/>
                <w:szCs w:val="8"/>
                <w:color w:val="auto"/>
              </w:rPr>
              <w:t>(5)</w:t>
            </w:r>
          </w:p>
        </w:tc>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71"/>
        </w:trPr>
        <w:tc>
          <w:tcPr>
            <w:tcW w:w="6180" w:type="dxa"/>
            <w:vAlign w:val="bottom"/>
            <w:gridSpan w:val="4"/>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180" w:type="dxa"/>
            <w:vAlign w:val="bottom"/>
            <w:gridSpan w:val="4"/>
            <w:vMerge w:val="restart"/>
            <w:shd w:val="clear" w:color="auto" w:fill="D9D9D9"/>
          </w:tcPr>
          <w:p>
            <w:pPr>
              <w:spacing w:after="0"/>
              <w:rPr>
                <w:sz w:val="20"/>
                <w:szCs w:val="20"/>
                <w:color w:val="auto"/>
              </w:rPr>
            </w:pPr>
            <w:r>
              <w:rPr>
                <w:rFonts w:ascii="Arial" w:cs="Arial" w:eastAsia="Arial" w:hAnsi="Arial"/>
                <w:sz w:val="12"/>
                <w:szCs w:val="12"/>
                <w:color w:val="auto"/>
              </w:rPr>
              <w:t>Matthew J. Osberg</w:t>
            </w:r>
          </w:p>
        </w:tc>
        <w:tc>
          <w:tcPr>
            <w:tcW w:w="2140" w:type="dxa"/>
            <w:vAlign w:val="bottom"/>
            <w:vMerge w:val="restart"/>
            <w:shd w:val="clear" w:color="auto" w:fill="D9D9D9"/>
          </w:tcPr>
          <w:p>
            <w:pPr>
              <w:jc w:val="right"/>
              <w:ind w:right="421"/>
              <w:spacing w:after="0"/>
              <w:rPr>
                <w:sz w:val="20"/>
                <w:szCs w:val="20"/>
                <w:color w:val="auto"/>
              </w:rPr>
            </w:pPr>
            <w:r>
              <w:rPr>
                <w:rFonts w:ascii="Arial" w:cs="Arial" w:eastAsia="Arial" w:hAnsi="Arial"/>
                <w:sz w:val="12"/>
                <w:szCs w:val="12"/>
                <w:color w:val="auto"/>
              </w:rPr>
              <w:t>33,576</w:t>
            </w:r>
          </w:p>
        </w:tc>
        <w:tc>
          <w:tcPr>
            <w:tcW w:w="440" w:type="dxa"/>
            <w:vAlign w:val="bottom"/>
            <w:shd w:val="clear" w:color="auto" w:fill="D9D9D9"/>
          </w:tcPr>
          <w:p>
            <w:pPr>
              <w:jc w:val="right"/>
              <w:ind w:right="201"/>
              <w:spacing w:after="0"/>
              <w:rPr>
                <w:sz w:val="20"/>
                <w:szCs w:val="20"/>
                <w:color w:val="auto"/>
              </w:rPr>
            </w:pPr>
            <w:r>
              <w:rPr>
                <w:rFonts w:ascii="Arial" w:cs="Arial" w:eastAsia="Arial" w:hAnsi="Arial"/>
                <w:sz w:val="8"/>
                <w:szCs w:val="8"/>
                <w:color w:val="auto"/>
              </w:rPr>
              <w:t>(6)</w:t>
            </w:r>
          </w:p>
        </w:tc>
        <w:tc>
          <w:tcPr>
            <w:tcW w:w="206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79"/>
        </w:trPr>
        <w:tc>
          <w:tcPr>
            <w:tcW w:w="6180" w:type="dxa"/>
            <w:vAlign w:val="bottom"/>
            <w:gridSpan w:val="4"/>
            <w:vMerge w:val="continue"/>
            <w:shd w:val="clear" w:color="auto" w:fill="D9D9D9"/>
          </w:tcPr>
          <w:p>
            <w:pPr>
              <w:spacing w:after="0"/>
              <w:rPr>
                <w:sz w:val="6"/>
                <w:szCs w:val="6"/>
                <w:color w:val="auto"/>
              </w:rPr>
            </w:pPr>
          </w:p>
        </w:tc>
        <w:tc>
          <w:tcPr>
            <w:tcW w:w="2140" w:type="dxa"/>
            <w:vAlign w:val="bottom"/>
            <w:vMerge w:val="continue"/>
            <w:shd w:val="clear" w:color="auto" w:fill="D9D9D9"/>
          </w:tcPr>
          <w:p>
            <w:pPr>
              <w:spacing w:after="0"/>
              <w:rPr>
                <w:sz w:val="6"/>
                <w:szCs w:val="6"/>
                <w:color w:val="auto"/>
              </w:rPr>
            </w:pPr>
          </w:p>
        </w:tc>
        <w:tc>
          <w:tcPr>
            <w:tcW w:w="440" w:type="dxa"/>
            <w:vAlign w:val="bottom"/>
            <w:shd w:val="clear" w:color="auto" w:fill="D9D9D9"/>
          </w:tcPr>
          <w:p>
            <w:pPr>
              <w:spacing w:after="0"/>
              <w:rPr>
                <w:sz w:val="6"/>
                <w:szCs w:val="6"/>
                <w:color w:val="auto"/>
              </w:rPr>
            </w:pPr>
          </w:p>
        </w:tc>
        <w:tc>
          <w:tcPr>
            <w:tcW w:w="206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180" w:type="dxa"/>
            <w:vAlign w:val="bottom"/>
            <w:gridSpan w:val="4"/>
            <w:vMerge w:val="restart"/>
          </w:tcPr>
          <w:p>
            <w:pPr>
              <w:spacing w:after="0"/>
              <w:rPr>
                <w:sz w:val="20"/>
                <w:szCs w:val="20"/>
                <w:color w:val="auto"/>
              </w:rPr>
            </w:pPr>
            <w:r>
              <w:rPr>
                <w:rFonts w:ascii="Arial" w:cs="Arial" w:eastAsia="Arial" w:hAnsi="Arial"/>
                <w:sz w:val="12"/>
                <w:szCs w:val="12"/>
                <w:color w:val="auto"/>
              </w:rPr>
              <w:t>All directors and executive officers as a group (15 persons)</w:t>
            </w:r>
          </w:p>
        </w:tc>
        <w:tc>
          <w:tcPr>
            <w:tcW w:w="2140" w:type="dxa"/>
            <w:vAlign w:val="bottom"/>
            <w:vMerge w:val="restart"/>
          </w:tcPr>
          <w:p>
            <w:pPr>
              <w:jc w:val="right"/>
              <w:ind w:right="421"/>
              <w:spacing w:after="0"/>
              <w:rPr>
                <w:sz w:val="20"/>
                <w:szCs w:val="20"/>
                <w:color w:val="auto"/>
              </w:rPr>
            </w:pPr>
            <w:r>
              <w:rPr>
                <w:rFonts w:ascii="Arial" w:cs="Arial" w:eastAsia="Arial" w:hAnsi="Arial"/>
                <w:sz w:val="12"/>
                <w:szCs w:val="12"/>
                <w:color w:val="auto"/>
              </w:rPr>
              <w:t>524,377</w:t>
            </w:r>
          </w:p>
        </w:tc>
        <w:tc>
          <w:tcPr>
            <w:tcW w:w="440" w:type="dxa"/>
            <w:vAlign w:val="bottom"/>
          </w:tcPr>
          <w:p>
            <w:pPr>
              <w:jc w:val="right"/>
              <w:ind w:right="201"/>
              <w:spacing w:after="0"/>
              <w:rPr>
                <w:sz w:val="20"/>
                <w:szCs w:val="20"/>
                <w:color w:val="auto"/>
              </w:rPr>
            </w:pPr>
            <w:r>
              <w:rPr>
                <w:rFonts w:ascii="Arial" w:cs="Arial" w:eastAsia="Arial" w:hAnsi="Arial"/>
                <w:sz w:val="8"/>
                <w:szCs w:val="8"/>
                <w:color w:val="auto"/>
              </w:rPr>
              <w:t>(7)</w:t>
            </w:r>
          </w:p>
        </w:tc>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1"/>
              </w:rPr>
              <w:t>2%</w:t>
            </w:r>
          </w:p>
        </w:tc>
        <w:tc>
          <w:tcPr>
            <w:tcW w:w="0" w:type="dxa"/>
            <w:vAlign w:val="bottom"/>
          </w:tcPr>
          <w:p>
            <w:pPr>
              <w:spacing w:after="0"/>
              <w:rPr>
                <w:sz w:val="1"/>
                <w:szCs w:val="1"/>
                <w:color w:val="auto"/>
              </w:rPr>
            </w:pPr>
          </w:p>
        </w:tc>
      </w:tr>
      <w:tr>
        <w:trPr>
          <w:trHeight w:val="63"/>
        </w:trPr>
        <w:tc>
          <w:tcPr>
            <w:tcW w:w="6180" w:type="dxa"/>
            <w:vAlign w:val="bottom"/>
            <w:gridSpan w:val="4"/>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color w:val="auto"/>
        </w:rPr>
        <w:t>* Indicates less than 1%.</w:t>
      </w:r>
    </w:p>
    <w:p>
      <w:pPr>
        <w:spacing w:after="0" w:line="78" w:lineRule="exact"/>
        <w:rPr>
          <w:sz w:val="20"/>
          <w:szCs w:val="20"/>
          <w:color w:val="auto"/>
        </w:rPr>
      </w:pPr>
    </w:p>
    <w:p>
      <w:pPr>
        <w:ind w:left="308" w:hanging="308"/>
        <w:spacing w:after="0"/>
        <w:tabs>
          <w:tab w:leader="none" w:pos="3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Unless otherwise indicated, the individuals listed in the table have sole voting and investment power with respect to the shares owned by them, and such shares are not subject to any pledge.</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our non-employee directors, the number indicated includes the following shares of restricted stock issued to the named individual pursuant to our 2019 Non-Employee Director Stock Plan, as Amended and Restated (2024) (the “2019 Director Stock Plan”):</w:t>
      </w:r>
    </w:p>
    <w:p>
      <w:pPr>
        <w:spacing w:after="0" w:line="139" w:lineRule="exact"/>
        <w:rPr>
          <w:sz w:val="20"/>
          <w:szCs w:val="20"/>
          <w:color w:val="auto"/>
        </w:rPr>
      </w:pPr>
    </w:p>
    <w:tbl>
      <w:tblPr>
        <w:tblLayout w:type="fixed"/>
        <w:tblInd w:w="1628" w:type="dxa"/>
        <w:tblCellMar>
          <w:top w:w="0" w:type="dxa"/>
          <w:left w:w="0" w:type="dxa"/>
          <w:bottom w:w="0" w:type="dxa"/>
          <w:right w:w="0" w:type="dxa"/>
        </w:tblCellMar>
      </w:tblPr>
      <w:tr>
        <w:trPr>
          <w:trHeight w:val="170"/>
        </w:trPr>
        <w:tc>
          <w:tcPr>
            <w:tcW w:w="4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05445E"/>
              </w:rPr>
              <w:t>Director</w:t>
            </w:r>
          </w:p>
        </w:tc>
        <w:tc>
          <w:tcPr>
            <w:tcW w:w="240" w:type="dxa"/>
            <w:vAlign w:val="bottom"/>
            <w:tcBorders>
              <w:bottom w:val="single" w:sz="8" w:color="D9D9D9"/>
            </w:tcBorders>
          </w:tcPr>
          <w:p>
            <w:pPr>
              <w:spacing w:after="0"/>
              <w:rPr>
                <w:sz w:val="14"/>
                <w:szCs w:val="14"/>
                <w:color w:val="auto"/>
              </w:rPr>
            </w:pPr>
          </w:p>
        </w:tc>
        <w:tc>
          <w:tcPr>
            <w:tcW w:w="348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b w:val="1"/>
                <w:bCs w:val="1"/>
                <w:color w:val="05445E"/>
              </w:rPr>
              <w:t>Shares of Restricted Stock</w:t>
            </w:r>
          </w:p>
        </w:tc>
      </w:tr>
      <w:tr>
        <w:trPr>
          <w:trHeight w:val="174"/>
        </w:trPr>
        <w:tc>
          <w:tcPr>
            <w:tcW w:w="4580" w:type="dxa"/>
            <w:vAlign w:val="bottom"/>
            <w:gridSpan w:val="2"/>
            <w:shd w:val="clear" w:color="auto" w:fill="D9D9D9"/>
          </w:tcPr>
          <w:p>
            <w:pPr>
              <w:ind w:left="60"/>
              <w:spacing w:after="0"/>
              <w:rPr>
                <w:sz w:val="20"/>
                <w:szCs w:val="20"/>
                <w:color w:val="auto"/>
              </w:rPr>
            </w:pPr>
            <w:r>
              <w:rPr>
                <w:rFonts w:ascii="Arial" w:cs="Arial" w:eastAsia="Arial" w:hAnsi="Arial"/>
                <w:sz w:val="12"/>
                <w:szCs w:val="12"/>
                <w:color w:val="auto"/>
              </w:rPr>
              <w:t>Elizabeth M. Lilly</w:t>
            </w:r>
            <w:r>
              <w:rPr>
                <w:rFonts w:ascii="Arial" w:cs="Arial" w:eastAsia="Arial" w:hAnsi="Arial"/>
                <w:sz w:val="15"/>
                <w:szCs w:val="15"/>
                <w:color w:val="auto"/>
                <w:vertAlign w:val="superscript"/>
              </w:rPr>
              <w:t>(a)</w:t>
            </w:r>
          </w:p>
        </w:tc>
        <w:tc>
          <w:tcPr>
            <w:tcW w:w="3480" w:type="dxa"/>
            <w:vAlign w:val="bottom"/>
            <w:shd w:val="clear" w:color="auto" w:fill="D9D9D9"/>
          </w:tcPr>
          <w:p>
            <w:pPr>
              <w:jc w:val="right"/>
              <w:ind w:right="1520"/>
              <w:spacing w:after="0"/>
              <w:rPr>
                <w:sz w:val="20"/>
                <w:szCs w:val="20"/>
                <w:color w:val="auto"/>
              </w:rPr>
            </w:pPr>
            <w:r>
              <w:rPr>
                <w:rFonts w:ascii="Arial" w:cs="Arial" w:eastAsia="Arial" w:hAnsi="Arial"/>
                <w:sz w:val="12"/>
                <w:szCs w:val="12"/>
                <w:color w:val="auto"/>
              </w:rPr>
              <w:t>201</w:t>
            </w:r>
          </w:p>
        </w:tc>
      </w:tr>
      <w:tr>
        <w:trPr>
          <w:trHeight w:val="172"/>
        </w:trPr>
        <w:tc>
          <w:tcPr>
            <w:tcW w:w="4580" w:type="dxa"/>
            <w:vAlign w:val="bottom"/>
            <w:gridSpan w:val="2"/>
          </w:tcPr>
          <w:p>
            <w:pPr>
              <w:ind w:left="60"/>
              <w:spacing w:after="0"/>
              <w:rPr>
                <w:sz w:val="20"/>
                <w:szCs w:val="20"/>
                <w:color w:val="auto"/>
              </w:rPr>
            </w:pPr>
            <w:r>
              <w:rPr>
                <w:rFonts w:ascii="Arial" w:cs="Arial" w:eastAsia="Arial" w:hAnsi="Arial"/>
                <w:sz w:val="12"/>
                <w:szCs w:val="12"/>
                <w:color w:val="auto"/>
              </w:rPr>
              <w:t>Herbert K. Parker</w:t>
            </w:r>
          </w:p>
        </w:tc>
        <w:tc>
          <w:tcPr>
            <w:tcW w:w="3480" w:type="dxa"/>
            <w:vAlign w:val="bottom"/>
          </w:tcPr>
          <w:p>
            <w:pPr>
              <w:jc w:val="right"/>
              <w:ind w:right="1520"/>
              <w:spacing w:after="0"/>
              <w:rPr>
                <w:sz w:val="20"/>
                <w:szCs w:val="20"/>
                <w:color w:val="auto"/>
              </w:rPr>
            </w:pPr>
            <w:r>
              <w:rPr>
                <w:rFonts w:ascii="Arial" w:cs="Arial" w:eastAsia="Arial" w:hAnsi="Arial"/>
                <w:sz w:val="12"/>
                <w:szCs w:val="12"/>
                <w:color w:val="auto"/>
              </w:rPr>
              <w:t>5,019</w:t>
            </w:r>
          </w:p>
        </w:tc>
      </w:tr>
      <w:tr>
        <w:trPr>
          <w:trHeight w:val="188"/>
        </w:trPr>
        <w:tc>
          <w:tcPr>
            <w:tcW w:w="4580" w:type="dxa"/>
            <w:vAlign w:val="bottom"/>
            <w:gridSpan w:val="2"/>
            <w:shd w:val="clear" w:color="auto" w:fill="D9D9D9"/>
          </w:tcPr>
          <w:p>
            <w:pPr>
              <w:ind w:left="60"/>
              <w:spacing w:after="0"/>
              <w:rPr>
                <w:sz w:val="20"/>
                <w:szCs w:val="20"/>
                <w:color w:val="auto"/>
              </w:rPr>
            </w:pPr>
            <w:r>
              <w:rPr>
                <w:rFonts w:ascii="Arial" w:cs="Arial" w:eastAsia="Arial" w:hAnsi="Arial"/>
                <w:sz w:val="12"/>
                <w:szCs w:val="12"/>
                <w:color w:val="auto"/>
              </w:rPr>
              <w:t>Patricia K. Wagner</w:t>
            </w:r>
          </w:p>
        </w:tc>
        <w:tc>
          <w:tcPr>
            <w:tcW w:w="3480" w:type="dxa"/>
            <w:vAlign w:val="bottom"/>
            <w:shd w:val="clear" w:color="auto" w:fill="D9D9D9"/>
          </w:tcPr>
          <w:p>
            <w:pPr>
              <w:jc w:val="right"/>
              <w:ind w:right="1520"/>
              <w:spacing w:after="0"/>
              <w:rPr>
                <w:sz w:val="20"/>
                <w:szCs w:val="20"/>
                <w:color w:val="auto"/>
              </w:rPr>
            </w:pPr>
            <w:r>
              <w:rPr>
                <w:rFonts w:ascii="Arial" w:cs="Arial" w:eastAsia="Arial" w:hAnsi="Arial"/>
                <w:sz w:val="12"/>
                <w:szCs w:val="12"/>
                <w:color w:val="auto"/>
              </w:rPr>
              <w:t>5,019</w:t>
            </w:r>
          </w:p>
        </w:tc>
      </w:tr>
    </w:tbl>
    <w:p>
      <w:pPr>
        <w:spacing w:after="0" w:line="190" w:lineRule="exact"/>
        <w:rPr>
          <w:sz w:val="20"/>
          <w:szCs w:val="20"/>
          <w:color w:val="auto"/>
        </w:rPr>
      </w:pPr>
    </w:p>
    <w:p>
      <w:pPr>
        <w:ind w:left="868"/>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328" w:right="500" w:firstLine="539"/>
        <w:spacing w:after="0" w:line="411" w:lineRule="auto"/>
        <w:tabs>
          <w:tab w:leader="none" w:pos="117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Elected to defer a portion of or all of their restricted stock grants. Deferred awards appear in footnote (2) of the "Fiscal 2026 Non-Employee Director Compensation Table" on page </w:t>
      </w:r>
      <w:r>
        <w:rPr>
          <w:rFonts w:ascii="Arial" w:cs="Arial" w:eastAsia="Arial" w:hAnsi="Arial"/>
          <w:sz w:val="12"/>
          <w:szCs w:val="12"/>
          <w:u w:val="single" w:color="auto"/>
          <w:color w:val="0000FF"/>
        </w:rPr>
        <w:t>31</w:t>
      </w:r>
      <w:r>
        <w:rPr>
          <w:rFonts w:ascii="Arial" w:cs="Arial" w:eastAsia="Arial" w:hAnsi="Arial"/>
          <w:sz w:val="12"/>
          <w:szCs w:val="12"/>
          <w:color w:val="auto"/>
        </w:rPr>
        <w:t>. All shares of restricted stock held pursuant to our 2019 Director Stock Plan are subject to future vesting conditions, and holders of such shares have no investment power over such shares.</w:t>
      </w:r>
    </w:p>
    <w:p>
      <w:pPr>
        <w:spacing w:after="0" w:line="3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15" w:name="page16"/>
    <w:bookmarkEnd w:id="15"/>
    <w:p>
      <w:pPr>
        <w:ind w:left="328"/>
        <w:spacing w:after="0" w:line="286" w:lineRule="auto"/>
        <w:rPr>
          <w:sz w:val="20"/>
          <w:szCs w:val="20"/>
          <w:color w:val="auto"/>
        </w:rPr>
      </w:pPr>
      <w:r>
        <w:rPr>
          <w:rFonts w:ascii="Arial" w:cs="Arial" w:eastAsia="Arial" w:hAnsi="Arial"/>
          <w:sz w:val="12"/>
          <w:szCs w:val="12"/>
          <w:color w:val="auto"/>
        </w:rPr>
        <w:t>For our executive officers, the number of shares indicated includes the following shares issued to the named individual pursuant to our 2019 Stock Incentive Plan, as Amended and Restated (2021) (the “2019 Stock Incentive Plan”) and our Employee Stock Purchase Plan.</w:t>
      </w:r>
    </w:p>
    <w:p>
      <w:pPr>
        <w:spacing w:after="0" w:line="139" w:lineRule="exact"/>
        <w:rPr>
          <w:sz w:val="20"/>
          <w:szCs w:val="20"/>
          <w:color w:val="auto"/>
        </w:rPr>
      </w:pPr>
    </w:p>
    <w:tbl>
      <w:tblPr>
        <w:tblLayout w:type="fixed"/>
        <w:tblInd w:w="328" w:type="dxa"/>
        <w:tblCellMar>
          <w:top w:w="0" w:type="dxa"/>
          <w:left w:w="0" w:type="dxa"/>
          <w:bottom w:w="0" w:type="dxa"/>
          <w:right w:w="0" w:type="dxa"/>
        </w:tblCellMar>
      </w:tblPr>
      <w:tr>
        <w:trPr>
          <w:trHeight w:val="144"/>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ind w:left="660"/>
              <w:spacing w:after="0"/>
              <w:rPr>
                <w:sz w:val="20"/>
                <w:szCs w:val="20"/>
                <w:color w:val="auto"/>
              </w:rPr>
            </w:pPr>
            <w:r>
              <w:rPr>
                <w:rFonts w:ascii="Arial" w:cs="Arial" w:eastAsia="Arial" w:hAnsi="Arial"/>
                <w:sz w:val="12"/>
                <w:szCs w:val="12"/>
                <w:b w:val="1"/>
                <w:bCs w:val="1"/>
                <w:color w:val="05445E"/>
              </w:rPr>
              <w:t>Shares Held in Employee</w:t>
            </w:r>
          </w:p>
        </w:tc>
      </w:tr>
      <w:tr>
        <w:trPr>
          <w:trHeight w:val="170"/>
        </w:trPr>
        <w:tc>
          <w:tcPr>
            <w:tcW w:w="4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05445E"/>
              </w:rPr>
              <w:t>Named Executive Officers</w:t>
            </w:r>
          </w:p>
        </w:tc>
        <w:tc>
          <w:tcPr>
            <w:tcW w:w="80" w:type="dxa"/>
            <w:vAlign w:val="bottom"/>
            <w:tcBorders>
              <w:bottom w:val="single" w:sz="8" w:color="D9D9D9"/>
            </w:tcBorders>
          </w:tcPr>
          <w:p>
            <w:pPr>
              <w:spacing w:after="0"/>
              <w:rPr>
                <w:sz w:val="14"/>
                <w:szCs w:val="14"/>
                <w:color w:val="auto"/>
              </w:rPr>
            </w:pPr>
          </w:p>
        </w:tc>
        <w:tc>
          <w:tcPr>
            <w:tcW w:w="25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05445E"/>
              </w:rPr>
              <w:t>Shares of Restricted Stock</w:t>
            </w:r>
          </w:p>
        </w:tc>
        <w:tc>
          <w:tcPr>
            <w:tcW w:w="80" w:type="dxa"/>
            <w:vAlign w:val="bottom"/>
            <w:tcBorders>
              <w:bottom w:val="single" w:sz="8" w:color="D9D9D9"/>
            </w:tcBorders>
          </w:tcPr>
          <w:p>
            <w:pPr>
              <w:spacing w:after="0"/>
              <w:rPr>
                <w:sz w:val="14"/>
                <w:szCs w:val="14"/>
                <w:color w:val="auto"/>
              </w:rPr>
            </w:pPr>
          </w:p>
        </w:tc>
        <w:tc>
          <w:tcPr>
            <w:tcW w:w="276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05445E"/>
              </w:rPr>
              <w:t>Stock Purchase Plan</w:t>
            </w:r>
          </w:p>
        </w:tc>
      </w:tr>
      <w:tr>
        <w:trPr>
          <w:trHeight w:val="174"/>
        </w:trPr>
        <w:tc>
          <w:tcPr>
            <w:tcW w:w="438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Donald A. Nolan</w:t>
            </w:r>
          </w:p>
        </w:tc>
        <w:tc>
          <w:tcPr>
            <w:tcW w:w="2540" w:type="dxa"/>
            <w:vAlign w:val="bottom"/>
            <w:shd w:val="clear" w:color="auto" w:fill="D9D9D9"/>
          </w:tcPr>
          <w:p>
            <w:pPr>
              <w:jc w:val="right"/>
              <w:ind w:right="740"/>
              <w:spacing w:after="0"/>
              <w:rPr>
                <w:sz w:val="20"/>
                <w:szCs w:val="20"/>
                <w:color w:val="auto"/>
              </w:rPr>
            </w:pPr>
            <w:r>
              <w:rPr>
                <w:rFonts w:ascii="Arial" w:cs="Arial" w:eastAsia="Arial" w:hAnsi="Arial"/>
                <w:sz w:val="12"/>
                <w:szCs w:val="12"/>
                <w:color w:val="auto"/>
              </w:rPr>
              <w:t>7,386</w:t>
            </w:r>
          </w:p>
        </w:tc>
        <w:tc>
          <w:tcPr>
            <w:tcW w:w="80" w:type="dxa"/>
            <w:vAlign w:val="bottom"/>
            <w:shd w:val="clear" w:color="auto" w:fill="D9D9D9"/>
          </w:tcPr>
          <w:p>
            <w:pPr>
              <w:spacing w:after="0"/>
              <w:rPr>
                <w:sz w:val="15"/>
                <w:szCs w:val="15"/>
                <w:color w:val="auto"/>
              </w:rPr>
            </w:pPr>
          </w:p>
        </w:tc>
        <w:tc>
          <w:tcPr>
            <w:tcW w:w="2760" w:type="dxa"/>
            <w:vAlign w:val="bottom"/>
            <w:shd w:val="clear" w:color="auto" w:fill="D9D9D9"/>
          </w:tcPr>
          <w:p>
            <w:pPr>
              <w:ind w:left="1000"/>
              <w:spacing w:after="0"/>
              <w:rPr>
                <w:sz w:val="20"/>
                <w:szCs w:val="20"/>
                <w:color w:val="auto"/>
              </w:rPr>
            </w:pPr>
            <w:r>
              <w:rPr>
                <w:rFonts w:ascii="Arial" w:cs="Arial" w:eastAsia="Arial" w:hAnsi="Arial"/>
                <w:sz w:val="12"/>
                <w:szCs w:val="12"/>
                <w:color w:val="auto"/>
              </w:rPr>
              <w:t>—</w:t>
            </w:r>
          </w:p>
        </w:tc>
      </w:tr>
      <w:tr>
        <w:trPr>
          <w:trHeight w:val="172"/>
        </w:trPr>
        <w:tc>
          <w:tcPr>
            <w:tcW w:w="4380" w:type="dxa"/>
            <w:vAlign w:val="bottom"/>
            <w:gridSpan w:val="2"/>
          </w:tcPr>
          <w:p>
            <w:pPr>
              <w:spacing w:after="0"/>
              <w:rPr>
                <w:sz w:val="20"/>
                <w:szCs w:val="20"/>
                <w:color w:val="auto"/>
              </w:rPr>
            </w:pPr>
            <w:r>
              <w:rPr>
                <w:rFonts w:ascii="Arial" w:cs="Arial" w:eastAsia="Arial" w:hAnsi="Arial"/>
                <w:sz w:val="12"/>
                <w:szCs w:val="12"/>
                <w:color w:val="auto"/>
              </w:rPr>
              <w:t>Mark R. Augdahl</w:t>
            </w:r>
          </w:p>
        </w:tc>
        <w:tc>
          <w:tcPr>
            <w:tcW w:w="2540" w:type="dxa"/>
            <w:vAlign w:val="bottom"/>
          </w:tcPr>
          <w:p>
            <w:pPr>
              <w:jc w:val="right"/>
              <w:ind w:right="740"/>
              <w:spacing w:after="0"/>
              <w:rPr>
                <w:sz w:val="20"/>
                <w:szCs w:val="20"/>
                <w:color w:val="auto"/>
              </w:rPr>
            </w:pPr>
            <w:r>
              <w:rPr>
                <w:rFonts w:ascii="Arial" w:cs="Arial" w:eastAsia="Arial" w:hAnsi="Arial"/>
                <w:sz w:val="12"/>
                <w:szCs w:val="12"/>
                <w:color w:val="auto"/>
              </w:rPr>
              <w:t>26,646</w:t>
            </w:r>
          </w:p>
        </w:tc>
        <w:tc>
          <w:tcPr>
            <w:tcW w:w="80" w:type="dxa"/>
            <w:vAlign w:val="bottom"/>
          </w:tcPr>
          <w:p>
            <w:pPr>
              <w:spacing w:after="0"/>
              <w:rPr>
                <w:sz w:val="14"/>
                <w:szCs w:val="14"/>
                <w:color w:val="auto"/>
              </w:rPr>
            </w:pPr>
          </w:p>
        </w:tc>
        <w:tc>
          <w:tcPr>
            <w:tcW w:w="2760" w:type="dxa"/>
            <w:vAlign w:val="bottom"/>
          </w:tcPr>
          <w:p>
            <w:pPr>
              <w:ind w:left="1000"/>
              <w:spacing w:after="0"/>
              <w:rPr>
                <w:sz w:val="20"/>
                <w:szCs w:val="20"/>
                <w:color w:val="auto"/>
              </w:rPr>
            </w:pPr>
            <w:r>
              <w:rPr>
                <w:rFonts w:ascii="Arial" w:cs="Arial" w:eastAsia="Arial" w:hAnsi="Arial"/>
                <w:sz w:val="12"/>
                <w:szCs w:val="12"/>
                <w:color w:val="auto"/>
              </w:rPr>
              <w:t>—</w:t>
            </w:r>
          </w:p>
        </w:tc>
      </w:tr>
      <w:tr>
        <w:trPr>
          <w:trHeight w:val="188"/>
        </w:trPr>
        <w:tc>
          <w:tcPr>
            <w:tcW w:w="438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Troy R. Johnson</w:t>
            </w:r>
          </w:p>
        </w:tc>
        <w:tc>
          <w:tcPr>
            <w:tcW w:w="2540" w:type="dxa"/>
            <w:vAlign w:val="bottom"/>
            <w:shd w:val="clear" w:color="auto" w:fill="D9D9D9"/>
          </w:tcPr>
          <w:p>
            <w:pPr>
              <w:jc w:val="right"/>
              <w:ind w:right="740"/>
              <w:spacing w:after="0"/>
              <w:rPr>
                <w:sz w:val="20"/>
                <w:szCs w:val="20"/>
                <w:color w:val="auto"/>
              </w:rPr>
            </w:pPr>
            <w:r>
              <w:rPr>
                <w:rFonts w:ascii="Arial" w:cs="Arial" w:eastAsia="Arial" w:hAnsi="Arial"/>
                <w:sz w:val="12"/>
                <w:szCs w:val="12"/>
                <w:color w:val="auto"/>
              </w:rPr>
              <w:t>35,672</w:t>
            </w:r>
          </w:p>
        </w:tc>
        <w:tc>
          <w:tcPr>
            <w:tcW w:w="80" w:type="dxa"/>
            <w:vAlign w:val="bottom"/>
            <w:shd w:val="clear" w:color="auto" w:fill="D9D9D9"/>
          </w:tcPr>
          <w:p>
            <w:pPr>
              <w:spacing w:after="0"/>
              <w:rPr>
                <w:sz w:val="16"/>
                <w:szCs w:val="16"/>
                <w:color w:val="auto"/>
              </w:rPr>
            </w:pPr>
          </w:p>
        </w:tc>
        <w:tc>
          <w:tcPr>
            <w:tcW w:w="2760" w:type="dxa"/>
            <w:vAlign w:val="bottom"/>
            <w:shd w:val="clear" w:color="auto" w:fill="D9D9D9"/>
          </w:tcPr>
          <w:p>
            <w:pPr>
              <w:ind w:left="380"/>
              <w:spacing w:after="0"/>
              <w:rPr>
                <w:sz w:val="20"/>
                <w:szCs w:val="20"/>
                <w:color w:val="auto"/>
              </w:rPr>
            </w:pPr>
            <w:r>
              <w:rPr>
                <w:rFonts w:ascii="Arial" w:cs="Arial" w:eastAsia="Arial" w:hAnsi="Arial"/>
                <w:sz w:val="12"/>
                <w:szCs w:val="12"/>
                <w:color w:val="auto"/>
              </w:rPr>
              <w:t>3,345</w:t>
            </w:r>
          </w:p>
        </w:tc>
      </w:tr>
      <w:tr>
        <w:trPr>
          <w:trHeight w:val="172"/>
        </w:trPr>
        <w:tc>
          <w:tcPr>
            <w:tcW w:w="4380" w:type="dxa"/>
            <w:vAlign w:val="bottom"/>
            <w:gridSpan w:val="2"/>
          </w:tcPr>
          <w:p>
            <w:pPr>
              <w:spacing w:after="0"/>
              <w:rPr>
                <w:sz w:val="20"/>
                <w:szCs w:val="20"/>
                <w:color w:val="auto"/>
              </w:rPr>
            </w:pPr>
            <w:r>
              <w:rPr>
                <w:rFonts w:ascii="Arial" w:cs="Arial" w:eastAsia="Arial" w:hAnsi="Arial"/>
                <w:sz w:val="12"/>
                <w:szCs w:val="12"/>
                <w:color w:val="auto"/>
              </w:rPr>
              <w:t>Veena M. Lakkundi</w:t>
            </w:r>
          </w:p>
        </w:tc>
        <w:tc>
          <w:tcPr>
            <w:tcW w:w="2540" w:type="dxa"/>
            <w:vAlign w:val="bottom"/>
          </w:tcPr>
          <w:p>
            <w:pPr>
              <w:jc w:val="right"/>
              <w:ind w:right="740"/>
              <w:spacing w:after="0"/>
              <w:rPr>
                <w:sz w:val="20"/>
                <w:szCs w:val="20"/>
                <w:color w:val="auto"/>
              </w:rPr>
            </w:pPr>
            <w:r>
              <w:rPr>
                <w:rFonts w:ascii="Arial" w:cs="Arial" w:eastAsia="Arial" w:hAnsi="Arial"/>
                <w:sz w:val="12"/>
                <w:szCs w:val="12"/>
                <w:color w:val="auto"/>
              </w:rPr>
              <w:t>29,762</w:t>
            </w:r>
          </w:p>
        </w:tc>
        <w:tc>
          <w:tcPr>
            <w:tcW w:w="80" w:type="dxa"/>
            <w:vAlign w:val="bottom"/>
          </w:tcPr>
          <w:p>
            <w:pPr>
              <w:spacing w:after="0"/>
              <w:rPr>
                <w:sz w:val="14"/>
                <w:szCs w:val="14"/>
                <w:color w:val="auto"/>
              </w:rPr>
            </w:pPr>
          </w:p>
        </w:tc>
        <w:tc>
          <w:tcPr>
            <w:tcW w:w="2760" w:type="dxa"/>
            <w:vAlign w:val="bottom"/>
          </w:tcPr>
          <w:p>
            <w:pPr>
              <w:ind w:left="1000"/>
              <w:spacing w:after="0"/>
              <w:rPr>
                <w:sz w:val="20"/>
                <w:szCs w:val="20"/>
                <w:color w:val="auto"/>
              </w:rPr>
            </w:pPr>
            <w:r>
              <w:rPr>
                <w:rFonts w:ascii="Arial" w:cs="Arial" w:eastAsia="Arial" w:hAnsi="Arial"/>
                <w:sz w:val="12"/>
                <w:szCs w:val="12"/>
                <w:color w:val="auto"/>
              </w:rPr>
              <w:t>—</w:t>
            </w:r>
          </w:p>
        </w:tc>
      </w:tr>
      <w:tr>
        <w:trPr>
          <w:trHeight w:val="188"/>
        </w:trPr>
        <w:tc>
          <w:tcPr>
            <w:tcW w:w="438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Brent C. Jewell</w:t>
            </w:r>
          </w:p>
        </w:tc>
        <w:tc>
          <w:tcPr>
            <w:tcW w:w="2540" w:type="dxa"/>
            <w:vAlign w:val="bottom"/>
            <w:shd w:val="clear" w:color="auto" w:fill="D9D9D9"/>
          </w:tcPr>
          <w:p>
            <w:pPr>
              <w:jc w:val="right"/>
              <w:ind w:right="740"/>
              <w:spacing w:after="0"/>
              <w:rPr>
                <w:sz w:val="20"/>
                <w:szCs w:val="20"/>
                <w:color w:val="auto"/>
              </w:rPr>
            </w:pPr>
            <w:r>
              <w:rPr>
                <w:rFonts w:ascii="Arial" w:cs="Arial" w:eastAsia="Arial" w:hAnsi="Arial"/>
                <w:sz w:val="12"/>
                <w:szCs w:val="12"/>
                <w:color w:val="auto"/>
              </w:rPr>
              <w:t>28,098</w:t>
            </w:r>
          </w:p>
        </w:tc>
        <w:tc>
          <w:tcPr>
            <w:tcW w:w="80" w:type="dxa"/>
            <w:vAlign w:val="bottom"/>
            <w:shd w:val="clear" w:color="auto" w:fill="D9D9D9"/>
          </w:tcPr>
          <w:p>
            <w:pPr>
              <w:spacing w:after="0"/>
              <w:rPr>
                <w:sz w:val="16"/>
                <w:szCs w:val="16"/>
                <w:color w:val="auto"/>
              </w:rPr>
            </w:pPr>
          </w:p>
        </w:tc>
        <w:tc>
          <w:tcPr>
            <w:tcW w:w="2760" w:type="dxa"/>
            <w:vAlign w:val="bottom"/>
            <w:shd w:val="clear" w:color="auto" w:fill="D9D9D9"/>
          </w:tcPr>
          <w:p>
            <w:pPr>
              <w:ind w:left="1000"/>
              <w:spacing w:after="0"/>
              <w:rPr>
                <w:sz w:val="20"/>
                <w:szCs w:val="20"/>
                <w:color w:val="auto"/>
              </w:rPr>
            </w:pPr>
            <w:r>
              <w:rPr>
                <w:rFonts w:ascii="Arial" w:cs="Arial" w:eastAsia="Arial" w:hAnsi="Arial"/>
                <w:sz w:val="12"/>
                <w:szCs w:val="12"/>
                <w:color w:val="auto"/>
              </w:rPr>
              <w:t>—</w:t>
            </w:r>
          </w:p>
        </w:tc>
      </w:tr>
      <w:tr>
        <w:trPr>
          <w:trHeight w:val="172"/>
        </w:trPr>
        <w:tc>
          <w:tcPr>
            <w:tcW w:w="4380" w:type="dxa"/>
            <w:vAlign w:val="bottom"/>
            <w:gridSpan w:val="2"/>
          </w:tcPr>
          <w:p>
            <w:pPr>
              <w:spacing w:after="0"/>
              <w:rPr>
                <w:sz w:val="20"/>
                <w:szCs w:val="20"/>
                <w:color w:val="auto"/>
              </w:rPr>
            </w:pPr>
            <w:r>
              <w:rPr>
                <w:rFonts w:ascii="Arial" w:cs="Arial" w:eastAsia="Arial" w:hAnsi="Arial"/>
                <w:sz w:val="12"/>
                <w:szCs w:val="12"/>
                <w:color w:val="auto"/>
              </w:rPr>
              <w:t>Ty R. Silberhorn</w:t>
            </w:r>
          </w:p>
        </w:tc>
        <w:tc>
          <w:tcPr>
            <w:tcW w:w="262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2760" w:type="dxa"/>
            <w:vAlign w:val="bottom"/>
          </w:tcPr>
          <w:p>
            <w:pPr>
              <w:ind w:left="1000"/>
              <w:spacing w:after="0"/>
              <w:rPr>
                <w:sz w:val="20"/>
                <w:szCs w:val="20"/>
                <w:color w:val="auto"/>
              </w:rPr>
            </w:pPr>
            <w:r>
              <w:rPr>
                <w:rFonts w:ascii="Arial" w:cs="Arial" w:eastAsia="Arial" w:hAnsi="Arial"/>
                <w:sz w:val="12"/>
                <w:szCs w:val="12"/>
                <w:color w:val="auto"/>
              </w:rPr>
              <w:t>—</w:t>
            </w:r>
          </w:p>
        </w:tc>
      </w:tr>
      <w:tr>
        <w:trPr>
          <w:trHeight w:val="188"/>
        </w:trPr>
        <w:tc>
          <w:tcPr>
            <w:tcW w:w="438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Matthew J. Osberg</w:t>
            </w:r>
          </w:p>
        </w:tc>
        <w:tc>
          <w:tcPr>
            <w:tcW w:w="2620" w:type="dxa"/>
            <w:vAlign w:val="bottom"/>
            <w:gridSpan w:val="2"/>
            <w:shd w:val="clear" w:color="auto" w:fill="D9D9D9"/>
          </w:tcPr>
          <w:p>
            <w:pPr>
              <w:ind w:left="1000"/>
              <w:spacing w:after="0"/>
              <w:rPr>
                <w:sz w:val="20"/>
                <w:szCs w:val="20"/>
                <w:color w:val="auto"/>
              </w:rPr>
            </w:pPr>
            <w:r>
              <w:rPr>
                <w:rFonts w:ascii="Arial" w:cs="Arial" w:eastAsia="Arial" w:hAnsi="Arial"/>
                <w:sz w:val="12"/>
                <w:szCs w:val="12"/>
                <w:color w:val="auto"/>
              </w:rPr>
              <w:t>—</w:t>
            </w:r>
          </w:p>
        </w:tc>
        <w:tc>
          <w:tcPr>
            <w:tcW w:w="2760" w:type="dxa"/>
            <w:vAlign w:val="bottom"/>
            <w:shd w:val="clear" w:color="auto" w:fill="D9D9D9"/>
          </w:tcPr>
          <w:p>
            <w:pPr>
              <w:ind w:left="1000"/>
              <w:spacing w:after="0"/>
              <w:rPr>
                <w:sz w:val="20"/>
                <w:szCs w:val="20"/>
                <w:color w:val="auto"/>
              </w:rPr>
            </w:pPr>
            <w:r>
              <w:rPr>
                <w:rFonts w:ascii="Arial" w:cs="Arial" w:eastAsia="Arial" w:hAnsi="Arial"/>
                <w:sz w:val="12"/>
                <w:szCs w:val="12"/>
                <w:color w:val="auto"/>
              </w:rPr>
              <w:t>—</w:t>
            </w:r>
          </w:p>
        </w:tc>
      </w:tr>
    </w:tbl>
    <w:p>
      <w:pPr>
        <w:spacing w:after="0" w:line="12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All shares of restricted stock held pursuant to our 2019 Stock Incentive Plan are subject to future vesting conditions, and the holders of such shares have no investment power over such shares.</w:t>
      </w:r>
    </w:p>
    <w:p>
      <w:pPr>
        <w:spacing w:after="0" w:line="51" w:lineRule="exact"/>
        <w:rPr>
          <w:sz w:val="20"/>
          <w:szCs w:val="20"/>
          <w:color w:val="auto"/>
        </w:rPr>
      </w:pPr>
    </w:p>
    <w:p>
      <w:pPr>
        <w:ind w:left="308" w:hanging="308"/>
        <w:spacing w:after="0" w:line="138" w:lineRule="exact"/>
        <w:tabs>
          <w:tab w:leader="none" w:pos="3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Nolan served as a Non</w:t>
      </w:r>
      <w:r>
        <w:rPr>
          <w:rFonts w:ascii="MS PGothic" w:cs="MS PGothic" w:eastAsia="MS PGothic" w:hAnsi="MS PGothic"/>
          <w:sz w:val="12"/>
          <w:szCs w:val="12"/>
          <w:color w:val="auto"/>
        </w:rPr>
        <w:t>‑</w:t>
      </w:r>
      <w:r>
        <w:rPr>
          <w:rFonts w:ascii="Arial" w:cs="Arial" w:eastAsia="Arial" w:hAnsi="Arial"/>
          <w:sz w:val="12"/>
          <w:szCs w:val="12"/>
          <w:color w:val="auto"/>
        </w:rPr>
        <w:t>Employee Director through October 31, 2025, and served as a Named Executive Officer for the remainder of the fiscal year.</w:t>
      </w:r>
    </w:p>
    <w:p>
      <w:pPr>
        <w:spacing w:after="0" w:line="104" w:lineRule="exact"/>
        <w:rPr>
          <w:rFonts w:ascii="Arial" w:cs="Arial" w:eastAsia="Arial" w:hAnsi="Arial"/>
          <w:sz w:val="12"/>
          <w:szCs w:val="12"/>
          <w:color w:val="auto"/>
        </w:rPr>
      </w:pPr>
    </w:p>
    <w:p>
      <w:pPr>
        <w:ind w:left="308" w:hanging="308"/>
        <w:spacing w:after="0"/>
        <w:tabs>
          <w:tab w:leader="none" w:pos="3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66 shares held in a revocable living trust for which Mr. Jewell and his spouse serve as co-trustees with shared voting and investment power.</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Silberhorn separated from the Company and as a director effective October 31, 2025. Mr. Silberhorn's ownership reflects amounts owned as of May 1, 2025, as reported in the Form 4 filed by Mr. Silberhorn on May 5, 2025.</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Mr. Osberg's ownership reflects amounts owned as of May 1, 2025, as reported in the Form 4 filed by Mr. Osberg on May 5, 2025.</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all directors and executive officers of the Company serving in such capacity as of April 27, 2026.</w:t>
      </w: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9"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Delinquent Section 16(a) Reports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Section 16(a) of the Securities Exchange Act of 1934 requires our directors, officers and all persons who beneficially own more than 10% of the outstanding shares of common stock to file with the SEC initial reports of ownership and reports of changes in ownership of our common stock. Section 16(a) officers, directors and greater than 10% beneficial owners are also required to furnish us with copies of all Section 16(a) forms they file. Based solely on a review of Section 16(a) reports filed electronically with the SEC and written representations from certain reporting persons, we believe that all forms required to be filed by such persons under Section 16(a) were filed on a timely basis, with the exception of the following late filings:</w:t>
      </w:r>
    </w:p>
    <w:p>
      <w:pPr>
        <w:spacing w:after="0" w:line="117"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One filing for Matthew S. Christian - an initial Form 3 report of common stock ownership required on August 7, 2025, which was filed on September 11, 2025;</w:t>
      </w:r>
    </w:p>
    <w:p>
      <w:pPr>
        <w:spacing w:after="0" w:line="114"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Two filings for Mark R. Augdahl - an initial Form 3 report of common stock ownership required on January 19, 2026, which was filed on February 20, 2026, and a Form 4 reporting an award granted on January 19, 2026, which was filed on February 20, 2026; and</w:t>
      </w:r>
    </w:p>
    <w:p>
      <w:pPr>
        <w:spacing w:after="0" w:line="67"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Two filings for Bryan A. Welp - an initial Form 3 report of common stock ownership required on February 2, 2026, which was filed on March 11, 2026, and a Form 4 reporting an award granted on February 2, 2026, which was filed on March 11, 2026.</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Each of the filings was delinquent because of delays in obtaining access to the new EDGAR Next platform.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Proposal 1: Election of Directors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Articles provide that our Board of Directors will be divided into three classes of directors of as nearly equal size as possible and the term of each class of directors is three years. The term of one class expires each year in rotation. Currently, we have seven directors, with three directors serving in Class I, two directors serving in Class II and two directors serving in Class III. At our Annual Meeting, the terms of our two Class I directors will expire. Class I director Lloyd E. Johnson will retire from the Board of Directors and will not stand for re-election at the Annual Meeting. Mr. L. Johnson will continue to serve as a director until the date of the Annual Meeting. Immediately following the certification of the vote for the election of directors at the Annual Meeting, the size of the Board will be reduced to six, with two directors in each class. Effective as of the close of business on October 31, 2025, Class II director Ty R. Silberhorn separated from the Company and the Board of Directors, and Class I director Donald A. Nolan was appointed Chief Executive Officer and Executive Chair.</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Donald A. Nolan and Patricia K. Wagner have been nominated for re-election to our Board as Class I directors. Class I directors re-elected at the Annual Meeting will serve until our 2029 Annual Meeting of Shareholders and until their successors are duly elected and qualified or until their earlier resignation or removal. Each of the nominees has agreed to serve as a director, if re-elected.</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If any of the nominees becomes unable or unwilling to serve as a director prior to the Annual Meeting, proxies will be voted for a substitute nominee or nominees designated by the Board. Alternatively, at the Board’s discretion, the proxies may be voted for a fewer number of nominees.</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Information about the background and qualifications of the Board nominees standing for re-election at the Annual Meeting and the directors continuing to serve after the Annual Meeting who are not subject to re-election at the Annual Meeting is provided below.</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Recommendation</w:t>
      </w:r>
    </w:p>
    <w:p>
      <w:pPr>
        <w:spacing w:after="0" w:line="150" w:lineRule="exact"/>
        <w:rPr>
          <w:sz w:val="20"/>
          <w:szCs w:val="20"/>
          <w:color w:val="auto"/>
        </w:rPr>
      </w:pPr>
    </w:p>
    <w:p>
      <w:pPr>
        <w:jc w:val="both"/>
        <w:ind w:right="20"/>
        <w:spacing w:after="0" w:line="296" w:lineRule="auto"/>
        <w:rPr>
          <w:sz w:val="20"/>
          <w:szCs w:val="20"/>
          <w:color w:val="auto"/>
        </w:rPr>
      </w:pPr>
      <w:r>
        <w:rPr>
          <w:rFonts w:ascii="Arial" w:cs="Arial" w:eastAsia="Arial" w:hAnsi="Arial"/>
          <w:sz w:val="12"/>
          <w:szCs w:val="12"/>
          <w:b w:val="1"/>
          <w:bCs w:val="1"/>
          <w:color w:val="auto"/>
        </w:rPr>
        <w:t>Our Board of Directors recommends that you vote FOR the two Class I director nominees. Unless a contrary instruction is indicated on the proxy, proxies will be voted FOR the election of the two Class I director nominees.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18" w:name="page19"/>
    <w:bookmarkEnd w:id="18"/>
    <w:p>
      <w:pPr>
        <w:ind w:left="1540"/>
        <w:spacing w:after="0"/>
        <w:rPr>
          <w:sz w:val="20"/>
          <w:szCs w:val="20"/>
          <w:color w:val="auto"/>
        </w:rPr>
      </w:pPr>
      <w:r>
        <w:rPr>
          <w:rFonts w:ascii="Arial" w:cs="Arial" w:eastAsia="Arial" w:hAnsi="Arial"/>
          <w:sz w:val="14"/>
          <w:szCs w:val="14"/>
          <w:b w:val="1"/>
          <w:bCs w:val="1"/>
          <w:color w:val="auto"/>
        </w:rPr>
        <w:t>Class I Director Nominee – Term Expiring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23495</wp:posOffset>
            </wp:positionV>
            <wp:extent cx="982980" cy="1205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2980" cy="1205865"/>
                    </a:xfrm>
                    <a:prstGeom prst="rect">
                      <a:avLst/>
                    </a:prstGeom>
                    <a:noFill/>
                  </pic:spPr>
                </pic:pic>
              </a:graphicData>
            </a:graphic>
          </wp:anchor>
        </w:drawing>
      </w:r>
    </w:p>
    <w:p>
      <w:pPr>
        <w:spacing w:after="0" w:line="37" w:lineRule="exact"/>
        <w:rPr>
          <w:sz w:val="20"/>
          <w:szCs w:val="20"/>
          <w:color w:val="auto"/>
        </w:rPr>
      </w:pPr>
    </w:p>
    <w:tbl>
      <w:tblPr>
        <w:tblLayout w:type="fixed"/>
        <w:tblInd w:w="1540" w:type="dxa"/>
        <w:tblCellMar>
          <w:top w:w="0" w:type="dxa"/>
          <w:left w:w="0" w:type="dxa"/>
          <w:bottom w:w="0" w:type="dxa"/>
          <w:right w:w="0" w:type="dxa"/>
        </w:tblCellMar>
      </w:tblPr>
      <w:tr>
        <w:trPr>
          <w:trHeight w:val="299"/>
        </w:trPr>
        <w:tc>
          <w:tcPr>
            <w:tcW w:w="3340" w:type="dxa"/>
            <w:vAlign w:val="bottom"/>
            <w:vMerge w:val="restart"/>
            <w:shd w:val="clear" w:color="auto" w:fill="D9D9D9"/>
          </w:tcPr>
          <w:p>
            <w:pPr>
              <w:ind w:left="1580"/>
              <w:spacing w:after="0"/>
              <w:rPr>
                <w:sz w:val="20"/>
                <w:szCs w:val="20"/>
                <w:color w:val="auto"/>
              </w:rPr>
            </w:pPr>
            <w:r>
              <w:rPr>
                <w:rFonts w:ascii="Arial" w:cs="Arial" w:eastAsia="Arial" w:hAnsi="Arial"/>
                <w:sz w:val="17"/>
                <w:szCs w:val="17"/>
                <w:b w:val="1"/>
                <w:bCs w:val="1"/>
                <w:color w:val="05445E"/>
              </w:rPr>
              <w:t>Donald A. Nolan</w:t>
            </w:r>
          </w:p>
        </w:tc>
        <w:tc>
          <w:tcPr>
            <w:tcW w:w="1200" w:type="dxa"/>
            <w:vAlign w:val="bottom"/>
            <w:vMerge w:val="restart"/>
            <w:shd w:val="clear" w:color="auto" w:fill="D9D9D9"/>
          </w:tcPr>
          <w:p>
            <w:pPr>
              <w:ind w:left="20"/>
              <w:spacing w:after="0"/>
              <w:rPr>
                <w:sz w:val="20"/>
                <w:szCs w:val="20"/>
                <w:color w:val="auto"/>
              </w:rPr>
            </w:pPr>
            <w:r>
              <w:rPr>
                <w:rFonts w:ascii="Arial" w:cs="Arial" w:eastAsia="Arial" w:hAnsi="Arial"/>
                <w:sz w:val="11"/>
                <w:szCs w:val="11"/>
                <w:b w:val="1"/>
                <w:bCs w:val="1"/>
                <w:color w:val="05445E"/>
              </w:rPr>
              <w:t>Apogee Committees:</w:t>
            </w:r>
          </w:p>
        </w:tc>
        <w:tc>
          <w:tcPr>
            <w:tcW w:w="1400" w:type="dxa"/>
            <w:vAlign w:val="bottom"/>
            <w:shd w:val="clear" w:color="auto" w:fill="D9D9D9"/>
          </w:tcPr>
          <w:p>
            <w:pPr>
              <w:ind w:left="100"/>
              <w:spacing w:after="0"/>
              <w:rPr>
                <w:sz w:val="20"/>
                <w:szCs w:val="20"/>
                <w:color w:val="auto"/>
              </w:rPr>
            </w:pPr>
            <w:r>
              <w:rPr>
                <w:rFonts w:ascii="Arial" w:cs="Arial" w:eastAsia="Arial" w:hAnsi="Arial"/>
                <w:sz w:val="11"/>
                <w:szCs w:val="11"/>
                <w:b w:val="1"/>
                <w:bCs w:val="1"/>
                <w:color w:val="05445E"/>
              </w:rPr>
              <w:t>Public Directorships:</w:t>
            </w:r>
          </w:p>
        </w:tc>
        <w:tc>
          <w:tcPr>
            <w:tcW w:w="0" w:type="dxa"/>
            <w:vAlign w:val="bottom"/>
          </w:tcPr>
          <w:p>
            <w:pPr>
              <w:spacing w:after="0"/>
              <w:rPr>
                <w:sz w:val="1"/>
                <w:szCs w:val="1"/>
                <w:color w:val="auto"/>
              </w:rPr>
            </w:pPr>
          </w:p>
        </w:tc>
      </w:tr>
      <w:tr>
        <w:trPr>
          <w:trHeight w:val="76"/>
        </w:trPr>
        <w:tc>
          <w:tcPr>
            <w:tcW w:w="3340" w:type="dxa"/>
            <w:vAlign w:val="bottom"/>
            <w:vMerge w:val="continue"/>
            <w:shd w:val="clear" w:color="auto" w:fill="D9D9D9"/>
          </w:tcPr>
          <w:p>
            <w:pPr>
              <w:spacing w:after="0"/>
              <w:rPr>
                <w:sz w:val="6"/>
                <w:szCs w:val="6"/>
                <w:color w:val="auto"/>
              </w:rPr>
            </w:pPr>
          </w:p>
        </w:tc>
        <w:tc>
          <w:tcPr>
            <w:tcW w:w="1200" w:type="dxa"/>
            <w:vAlign w:val="bottom"/>
            <w:vMerge w:val="continue"/>
            <w:shd w:val="clear" w:color="auto" w:fill="D9D9D9"/>
          </w:tcPr>
          <w:p>
            <w:pPr>
              <w:spacing w:after="0"/>
              <w:rPr>
                <w:sz w:val="6"/>
                <w:szCs w:val="6"/>
                <w:color w:val="auto"/>
              </w:rPr>
            </w:pPr>
          </w:p>
        </w:tc>
        <w:tc>
          <w:tcPr>
            <w:tcW w:w="1400" w:type="dxa"/>
            <w:vAlign w:val="bottom"/>
            <w:vMerge w:val="restart"/>
            <w:shd w:val="clear" w:color="auto" w:fill="D9D9D9"/>
          </w:tcPr>
          <w:p>
            <w:pPr>
              <w:ind w:left="200"/>
              <w:spacing w:after="0"/>
              <w:rPr>
                <w:sz w:val="20"/>
                <w:szCs w:val="20"/>
                <w:color w:val="auto"/>
              </w:rPr>
            </w:pPr>
            <w:r>
              <w:rPr>
                <w:rFonts w:ascii="Arial" w:cs="Arial" w:eastAsia="Arial" w:hAnsi="Arial"/>
                <w:sz w:val="11"/>
                <w:szCs w:val="11"/>
                <w:color w:val="auto"/>
              </w:rPr>
              <w:t>• N/A</w:t>
            </w:r>
          </w:p>
        </w:tc>
        <w:tc>
          <w:tcPr>
            <w:tcW w:w="0" w:type="dxa"/>
            <w:vAlign w:val="bottom"/>
          </w:tcPr>
          <w:p>
            <w:pPr>
              <w:spacing w:after="0"/>
              <w:rPr>
                <w:sz w:val="1"/>
                <w:szCs w:val="1"/>
                <w:color w:val="auto"/>
              </w:rPr>
            </w:pPr>
          </w:p>
        </w:tc>
      </w:tr>
      <w:tr>
        <w:trPr>
          <w:trHeight w:val="71"/>
        </w:trPr>
        <w:tc>
          <w:tcPr>
            <w:tcW w:w="3340" w:type="dxa"/>
            <w:vAlign w:val="bottom"/>
            <w:shd w:val="clear" w:color="auto" w:fill="D9D9D9"/>
          </w:tcPr>
          <w:p>
            <w:pPr>
              <w:spacing w:after="0"/>
              <w:rPr>
                <w:sz w:val="6"/>
                <w:szCs w:val="6"/>
                <w:color w:val="auto"/>
              </w:rPr>
            </w:pPr>
          </w:p>
        </w:tc>
        <w:tc>
          <w:tcPr>
            <w:tcW w:w="1200" w:type="dxa"/>
            <w:vAlign w:val="bottom"/>
            <w:vMerge w:val="restart"/>
            <w:shd w:val="clear" w:color="auto" w:fill="D9D9D9"/>
          </w:tcPr>
          <w:p>
            <w:pPr>
              <w:ind w:left="120"/>
              <w:spacing w:after="0"/>
              <w:rPr>
                <w:sz w:val="20"/>
                <w:szCs w:val="20"/>
                <w:color w:val="auto"/>
              </w:rPr>
            </w:pPr>
            <w:r>
              <w:rPr>
                <w:rFonts w:ascii="Arial" w:cs="Arial" w:eastAsia="Arial" w:hAnsi="Arial"/>
                <w:sz w:val="11"/>
                <w:szCs w:val="11"/>
                <w:color w:val="auto"/>
              </w:rPr>
              <w:t>• N/A</w:t>
            </w:r>
          </w:p>
        </w:tc>
        <w:tc>
          <w:tcPr>
            <w:tcW w:w="140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340" w:type="dxa"/>
            <w:vAlign w:val="bottom"/>
            <w:vMerge w:val="restart"/>
            <w:shd w:val="clear" w:color="auto" w:fill="D9D9D9"/>
          </w:tcPr>
          <w:p>
            <w:pPr>
              <w:ind w:left="158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65</w:t>
            </w:r>
          </w:p>
        </w:tc>
        <w:tc>
          <w:tcPr>
            <w:tcW w:w="1200" w:type="dxa"/>
            <w:vAlign w:val="bottom"/>
            <w:vMerge w:val="continue"/>
            <w:shd w:val="clear" w:color="auto" w:fill="D9D9D9"/>
          </w:tcPr>
          <w:p>
            <w:pPr>
              <w:spacing w:after="0"/>
              <w:rPr>
                <w:sz w:val="6"/>
                <w:szCs w:val="6"/>
                <w:color w:val="auto"/>
              </w:rPr>
            </w:pPr>
          </w:p>
        </w:tc>
        <w:tc>
          <w:tcPr>
            <w:tcW w:w="14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340" w:type="dxa"/>
            <w:vAlign w:val="bottom"/>
            <w:vMerge w:val="continue"/>
            <w:shd w:val="clear" w:color="auto" w:fill="D9D9D9"/>
          </w:tcPr>
          <w:p>
            <w:pPr>
              <w:spacing w:after="0"/>
              <w:rPr>
                <w:sz w:val="10"/>
                <w:szCs w:val="10"/>
                <w:color w:val="auto"/>
              </w:rPr>
            </w:pPr>
          </w:p>
        </w:tc>
        <w:tc>
          <w:tcPr>
            <w:tcW w:w="1200" w:type="dxa"/>
            <w:vAlign w:val="bottom"/>
            <w:shd w:val="clear" w:color="auto" w:fill="D9D9D9"/>
          </w:tcPr>
          <w:p>
            <w:pPr>
              <w:spacing w:after="0"/>
              <w:rPr>
                <w:sz w:val="10"/>
                <w:szCs w:val="10"/>
                <w:color w:val="auto"/>
              </w:rPr>
            </w:pPr>
          </w:p>
        </w:tc>
        <w:tc>
          <w:tcPr>
            <w:tcW w:w="14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340" w:type="dxa"/>
            <w:vAlign w:val="bottom"/>
            <w:shd w:val="clear" w:color="auto" w:fill="D9D9D9"/>
          </w:tcPr>
          <w:p>
            <w:pPr>
              <w:ind w:left="158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2013</w:t>
            </w:r>
          </w:p>
        </w:tc>
        <w:tc>
          <w:tcPr>
            <w:tcW w:w="120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40" w:type="dxa"/>
            <w:vAlign w:val="bottom"/>
            <w:shd w:val="clear" w:color="auto" w:fill="D9D9D9"/>
          </w:tcPr>
          <w:p>
            <w:pPr>
              <w:ind w:left="1580"/>
              <w:spacing w:after="0"/>
              <w:rPr>
                <w:sz w:val="20"/>
                <w:szCs w:val="20"/>
                <w:color w:val="auto"/>
              </w:rPr>
            </w:pPr>
            <w:r>
              <w:rPr>
                <w:rFonts w:ascii="Arial" w:cs="Arial" w:eastAsia="Arial" w:hAnsi="Arial"/>
                <w:sz w:val="11"/>
                <w:szCs w:val="11"/>
                <w:b w:val="1"/>
                <w:bCs w:val="1"/>
                <w:color w:val="auto"/>
              </w:rPr>
              <w:t>Chief Executive Officer</w:t>
            </w:r>
          </w:p>
        </w:tc>
        <w:tc>
          <w:tcPr>
            <w:tcW w:w="120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491"/>
        </w:trPr>
        <w:tc>
          <w:tcPr>
            <w:tcW w:w="3340" w:type="dxa"/>
            <w:vAlign w:val="bottom"/>
            <w:shd w:val="clear" w:color="auto" w:fill="D9D9D9"/>
          </w:tcPr>
          <w:p>
            <w:pPr>
              <w:ind w:left="1580"/>
              <w:spacing w:after="0"/>
              <w:rPr>
                <w:sz w:val="20"/>
                <w:szCs w:val="20"/>
                <w:color w:val="auto"/>
              </w:rPr>
            </w:pPr>
            <w:r>
              <w:rPr>
                <w:rFonts w:ascii="Arial" w:cs="Arial" w:eastAsia="Arial" w:hAnsi="Arial"/>
                <w:sz w:val="11"/>
                <w:szCs w:val="11"/>
                <w:b w:val="1"/>
                <w:bCs w:val="1"/>
                <w:color w:val="auto"/>
              </w:rPr>
              <w:t>Executive Chair</w:t>
            </w:r>
          </w:p>
        </w:tc>
        <w:tc>
          <w:tcPr>
            <w:tcW w:w="1200" w:type="dxa"/>
            <w:vAlign w:val="bottom"/>
            <w:shd w:val="clear" w:color="auto" w:fill="D9D9D9"/>
          </w:tcPr>
          <w:p>
            <w:pPr>
              <w:spacing w:after="0"/>
              <w:rPr>
                <w:sz w:val="24"/>
                <w:szCs w:val="24"/>
                <w:color w:val="auto"/>
              </w:rPr>
            </w:pPr>
          </w:p>
        </w:tc>
        <w:tc>
          <w:tcPr>
            <w:tcW w:w="14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D9D9D9"/>
          </w:tcPr>
          <w:p>
            <w:pPr>
              <w:ind w:left="1680"/>
              <w:spacing w:after="0"/>
              <w:rPr>
                <w:sz w:val="20"/>
                <w:szCs w:val="20"/>
                <w:color w:val="auto"/>
              </w:rPr>
            </w:pPr>
            <w:r>
              <w:rPr>
                <w:rFonts w:ascii="Arial" w:cs="Arial" w:eastAsia="Arial" w:hAnsi="Arial"/>
                <w:sz w:val="11"/>
                <w:szCs w:val="11"/>
                <w:b w:val="1"/>
                <w:bCs w:val="1"/>
                <w:color w:val="auto"/>
              </w:rPr>
              <w:t>since October 31, 2025</w:t>
            </w:r>
          </w:p>
        </w:tc>
        <w:tc>
          <w:tcPr>
            <w:tcW w:w="120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334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c>
          <w:tcPr>
            <w:tcW w:w="14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1540" w:right="1559"/>
        <w:spacing w:after="0" w:line="249" w:lineRule="auto"/>
        <w:rPr>
          <w:sz w:val="20"/>
          <w:szCs w:val="20"/>
          <w:color w:val="auto"/>
        </w:rPr>
      </w:pPr>
      <w:r>
        <w:rPr>
          <w:rFonts w:ascii="Arial" w:cs="Arial" w:eastAsia="Arial" w:hAnsi="Arial"/>
          <w:sz w:val="11"/>
          <w:szCs w:val="11"/>
          <w:b w:val="1"/>
          <w:bCs w:val="1"/>
          <w:color w:val="05445E"/>
        </w:rPr>
        <w:t xml:space="preserve">Mr. Nolan </w:t>
      </w:r>
      <w:r>
        <w:rPr>
          <w:rFonts w:ascii="Arial" w:cs="Arial" w:eastAsia="Arial" w:hAnsi="Arial"/>
          <w:sz w:val="11"/>
          <w:szCs w:val="11"/>
          <w:color w:val="000000"/>
        </w:rPr>
        <w:t>has served as our Chief Executive Officer since the close of business on October 31, 2025. He served as</w:t>
      </w:r>
      <w:r>
        <w:rPr>
          <w:rFonts w:ascii="Arial" w:cs="Arial" w:eastAsia="Arial" w:hAnsi="Arial"/>
          <w:sz w:val="11"/>
          <w:szCs w:val="11"/>
          <w:b w:val="1"/>
          <w:bCs w:val="1"/>
          <w:color w:val="05445E"/>
        </w:rPr>
        <w:t xml:space="preserve"> </w:t>
      </w:r>
      <w:r>
        <w:rPr>
          <w:rFonts w:ascii="Arial" w:cs="Arial" w:eastAsia="Arial" w:hAnsi="Arial"/>
          <w:sz w:val="11"/>
          <w:szCs w:val="11"/>
          <w:color w:val="000000"/>
        </w:rPr>
        <w:t>President and Chief Executive Officer of Kennametal Inc., a global industrial technology leader, present in over 60 countries, manufacturing tooling and wear-resistant solutions for customers in the aerospace, energy, and transportation industries from 2014 to 2016. Previously, Mr. Nolan was President of the Materials Group for Avery Dennison Corporation, a global leader in packaging solutions from 2008 to 2014. Prior to joining Avery Dennison Corporation, he served on the executive team at Valspar, a global leader in paint and coatings, as Senior Vice President, leading the Global Packaging and Refinish Coatings businesses. Before joining Valspar, he held leadership positions of increasing responsibility with Loctite, General Electric and Ashland Chemical. Mr. Nolan is also active in private equity, serving on several private company boards.</w:t>
      </w:r>
    </w:p>
    <w:p>
      <w:pPr>
        <w:spacing w:after="0" w:line="61" w:lineRule="exact"/>
        <w:rPr>
          <w:sz w:val="20"/>
          <w:szCs w:val="20"/>
          <w:color w:val="auto"/>
        </w:rPr>
      </w:pPr>
    </w:p>
    <w:p>
      <w:pPr>
        <w:jc w:val="both"/>
        <w:ind w:left="1540" w:right="1559"/>
        <w:spacing w:after="0" w:line="268" w:lineRule="auto"/>
        <w:rPr>
          <w:sz w:val="20"/>
          <w:szCs w:val="20"/>
          <w:color w:val="auto"/>
        </w:rPr>
      </w:pPr>
      <w:r>
        <w:rPr>
          <w:rFonts w:ascii="Arial" w:cs="Arial" w:eastAsia="Arial" w:hAnsi="Arial"/>
          <w:sz w:val="11"/>
          <w:szCs w:val="11"/>
          <w:color w:val="auto"/>
        </w:rPr>
        <w:t>Mr. Nolan holds a B.S. in Materials and Metallurgical Engineering, an MBA from the University of Michigan and an M.S. in Mechanical Engineering from Rensselaer Polytechnic Institute.</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1"/>
          <w:szCs w:val="11"/>
          <w:b w:val="1"/>
          <w:bCs w:val="1"/>
          <w:color w:val="05445E"/>
        </w:rPr>
        <w:t>Skills &amp; Qualifications:</w:t>
      </w:r>
    </w:p>
    <w:p>
      <w:pPr>
        <w:spacing w:after="0" w:line="63" w:lineRule="exact"/>
        <w:rPr>
          <w:sz w:val="20"/>
          <w:szCs w:val="20"/>
          <w:color w:val="auto"/>
        </w:rPr>
      </w:pPr>
    </w:p>
    <w:tbl>
      <w:tblPr>
        <w:tblLayout w:type="fixed"/>
        <w:tblInd w:w="1540" w:type="dxa"/>
        <w:tblCellMar>
          <w:top w:w="0" w:type="dxa"/>
          <w:left w:w="0" w:type="dxa"/>
          <w:bottom w:w="0" w:type="dxa"/>
          <w:right w:w="0" w:type="dxa"/>
        </w:tblCellMar>
      </w:tblPr>
      <w:tr>
        <w:trPr>
          <w:trHeight w:val="142"/>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46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220" w:type="dxa"/>
            <w:vAlign w:val="bottom"/>
          </w:tcPr>
          <w:p>
            <w:pPr>
              <w:ind w:left="160"/>
              <w:spacing w:after="0"/>
              <w:rPr>
                <w:sz w:val="20"/>
                <w:szCs w:val="20"/>
                <w:color w:val="auto"/>
              </w:rPr>
            </w:pPr>
            <w:r>
              <w:rPr>
                <w:rFonts w:ascii="Arial" w:cs="Arial" w:eastAsia="Arial" w:hAnsi="Arial"/>
                <w:sz w:val="11"/>
                <w:szCs w:val="11"/>
                <w:color w:val="auto"/>
              </w:rPr>
              <w:t>•</w:t>
            </w:r>
          </w:p>
        </w:tc>
        <w:tc>
          <w:tcPr>
            <w:tcW w:w="1620" w:type="dxa"/>
            <w:vAlign w:val="bottom"/>
          </w:tcPr>
          <w:p>
            <w:pPr>
              <w:ind w:left="40"/>
              <w:spacing w:after="0"/>
              <w:rPr>
                <w:sz w:val="20"/>
                <w:szCs w:val="20"/>
                <w:color w:val="auto"/>
              </w:rPr>
            </w:pPr>
            <w:r>
              <w:rPr>
                <w:rFonts w:ascii="Arial" w:cs="Arial" w:eastAsia="Arial" w:hAnsi="Arial"/>
                <w:sz w:val="11"/>
                <w:szCs w:val="11"/>
                <w:color w:val="auto"/>
              </w:rPr>
              <w:t>Financial Management</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00" w:type="dxa"/>
            <w:vAlign w:val="bottom"/>
          </w:tcPr>
          <w:p>
            <w:pPr>
              <w:ind w:left="20"/>
              <w:spacing w:after="0"/>
              <w:rPr>
                <w:sz w:val="20"/>
                <w:szCs w:val="20"/>
                <w:color w:val="auto"/>
              </w:rPr>
            </w:pPr>
            <w:r>
              <w:rPr>
                <w:rFonts w:ascii="Arial" w:cs="Arial" w:eastAsia="Arial" w:hAnsi="Arial"/>
                <w:sz w:val="11"/>
                <w:szCs w:val="11"/>
                <w:color w:val="auto"/>
              </w:rPr>
              <w:t>Corporate Governance</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460" w:type="dxa"/>
            <w:vAlign w:val="bottom"/>
          </w:tcPr>
          <w:p>
            <w:pPr>
              <w:ind w:left="40"/>
              <w:spacing w:after="0"/>
              <w:rPr>
                <w:sz w:val="20"/>
                <w:szCs w:val="20"/>
                <w:color w:val="auto"/>
              </w:rPr>
            </w:pPr>
            <w:r>
              <w:rPr>
                <w:rFonts w:ascii="Arial" w:cs="Arial" w:eastAsia="Arial" w:hAnsi="Arial"/>
                <w:sz w:val="11"/>
                <w:szCs w:val="11"/>
                <w:color w:val="auto"/>
              </w:rPr>
              <w:t>Business Operations</w:t>
            </w:r>
          </w:p>
        </w:tc>
        <w:tc>
          <w:tcPr>
            <w:tcW w:w="220" w:type="dxa"/>
            <w:vAlign w:val="bottom"/>
          </w:tcPr>
          <w:p>
            <w:pPr>
              <w:ind w:left="160"/>
              <w:spacing w:after="0"/>
              <w:rPr>
                <w:sz w:val="20"/>
                <w:szCs w:val="20"/>
                <w:color w:val="auto"/>
              </w:rPr>
            </w:pPr>
            <w:r>
              <w:rPr>
                <w:rFonts w:ascii="Arial" w:cs="Arial" w:eastAsia="Arial" w:hAnsi="Arial"/>
                <w:sz w:val="11"/>
                <w:szCs w:val="11"/>
                <w:color w:val="auto"/>
              </w:rPr>
              <w:t>•</w:t>
            </w:r>
          </w:p>
        </w:tc>
        <w:tc>
          <w:tcPr>
            <w:tcW w:w="1620" w:type="dxa"/>
            <w:vAlign w:val="bottom"/>
          </w:tcPr>
          <w:p>
            <w:pPr>
              <w:ind w:left="40"/>
              <w:spacing w:after="0"/>
              <w:rPr>
                <w:sz w:val="20"/>
                <w:szCs w:val="20"/>
                <w:color w:val="auto"/>
              </w:rPr>
            </w:pPr>
            <w:r>
              <w:rPr>
                <w:rFonts w:ascii="Arial" w:cs="Arial" w:eastAsia="Arial" w:hAnsi="Arial"/>
                <w:sz w:val="11"/>
                <w:szCs w:val="11"/>
                <w:color w:val="auto"/>
              </w:rPr>
              <w:t>International Business</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00" w:type="dxa"/>
            <w:vAlign w:val="bottom"/>
          </w:tcPr>
          <w:p>
            <w:pPr>
              <w:ind w:left="20"/>
              <w:spacing w:after="0"/>
              <w:rPr>
                <w:sz w:val="20"/>
                <w:szCs w:val="20"/>
                <w:color w:val="auto"/>
              </w:rPr>
            </w:pPr>
            <w:r>
              <w:rPr>
                <w:rFonts w:ascii="Arial" w:cs="Arial" w:eastAsia="Arial" w:hAnsi="Arial"/>
                <w:sz w:val="11"/>
                <w:szCs w:val="11"/>
                <w:color w:val="auto"/>
              </w:rPr>
              <w:t>Executive Compensation</w:t>
            </w:r>
          </w:p>
        </w:tc>
      </w:tr>
      <w:tr>
        <w:trPr>
          <w:trHeight w:val="137"/>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460" w:type="dxa"/>
            <w:vAlign w:val="bottom"/>
          </w:tcPr>
          <w:p>
            <w:pPr>
              <w:ind w:left="40"/>
              <w:spacing w:after="0"/>
              <w:rPr>
                <w:sz w:val="20"/>
                <w:szCs w:val="20"/>
                <w:color w:val="auto"/>
              </w:rPr>
            </w:pPr>
            <w:r>
              <w:rPr>
                <w:rFonts w:ascii="Arial" w:cs="Arial" w:eastAsia="Arial" w:hAnsi="Arial"/>
                <w:sz w:val="11"/>
                <w:szCs w:val="11"/>
                <w:color w:val="auto"/>
              </w:rPr>
              <w:t>Strategy Development and</w:t>
            </w:r>
          </w:p>
        </w:tc>
        <w:tc>
          <w:tcPr>
            <w:tcW w:w="220" w:type="dxa"/>
            <w:vAlign w:val="bottom"/>
          </w:tcPr>
          <w:p>
            <w:pPr>
              <w:ind w:left="160"/>
              <w:spacing w:after="0"/>
              <w:rPr>
                <w:sz w:val="20"/>
                <w:szCs w:val="20"/>
                <w:color w:val="auto"/>
              </w:rPr>
            </w:pPr>
            <w:r>
              <w:rPr>
                <w:rFonts w:ascii="Arial" w:cs="Arial" w:eastAsia="Arial" w:hAnsi="Arial"/>
                <w:sz w:val="11"/>
                <w:szCs w:val="11"/>
                <w:color w:val="auto"/>
              </w:rPr>
              <w:t>•</w:t>
            </w:r>
          </w:p>
        </w:tc>
        <w:tc>
          <w:tcPr>
            <w:tcW w:w="1620" w:type="dxa"/>
            <w:vAlign w:val="bottom"/>
          </w:tcPr>
          <w:p>
            <w:pPr>
              <w:ind w:left="40"/>
              <w:spacing w:after="0"/>
              <w:rPr>
                <w:sz w:val="20"/>
                <w:szCs w:val="20"/>
                <w:color w:val="auto"/>
              </w:rPr>
            </w:pPr>
            <w:r>
              <w:rPr>
                <w:rFonts w:ascii="Arial" w:cs="Arial" w:eastAsia="Arial" w:hAnsi="Arial"/>
                <w:sz w:val="11"/>
                <w:szCs w:val="11"/>
                <w:color w:val="auto"/>
              </w:rPr>
              <w:t>Mergers and Acquisitions</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00" w:type="dxa"/>
            <w:vAlign w:val="bottom"/>
          </w:tcPr>
          <w:p>
            <w:pPr>
              <w:ind w:left="20"/>
              <w:spacing w:after="0"/>
              <w:rPr>
                <w:sz w:val="20"/>
                <w:szCs w:val="20"/>
                <w:color w:val="auto"/>
              </w:rPr>
            </w:pPr>
            <w:r>
              <w:rPr>
                <w:rFonts w:ascii="Arial" w:cs="Arial" w:eastAsia="Arial" w:hAnsi="Arial"/>
                <w:sz w:val="11"/>
                <w:szCs w:val="11"/>
                <w:color w:val="auto"/>
              </w:rPr>
              <w:t>Public and Private Company Board</w:t>
            </w:r>
          </w:p>
        </w:tc>
      </w:tr>
      <w:tr>
        <w:trPr>
          <w:trHeight w:val="153"/>
        </w:trPr>
        <w:tc>
          <w:tcPr>
            <w:tcW w:w="180" w:type="dxa"/>
            <w:vAlign w:val="bottom"/>
          </w:tcPr>
          <w:p>
            <w:pPr>
              <w:spacing w:after="0"/>
              <w:rPr>
                <w:sz w:val="13"/>
                <w:szCs w:val="13"/>
                <w:color w:val="auto"/>
              </w:rPr>
            </w:pPr>
          </w:p>
        </w:tc>
        <w:tc>
          <w:tcPr>
            <w:tcW w:w="1460" w:type="dxa"/>
            <w:vAlign w:val="bottom"/>
          </w:tcPr>
          <w:p>
            <w:pPr>
              <w:ind w:left="40"/>
              <w:spacing w:after="0"/>
              <w:rPr>
                <w:sz w:val="20"/>
                <w:szCs w:val="20"/>
                <w:color w:val="auto"/>
              </w:rPr>
            </w:pPr>
            <w:r>
              <w:rPr>
                <w:rFonts w:ascii="Arial" w:cs="Arial" w:eastAsia="Arial" w:hAnsi="Arial"/>
                <w:sz w:val="11"/>
                <w:szCs w:val="11"/>
                <w:color w:val="auto"/>
              </w:rPr>
              <w:t>Execution</w:t>
            </w:r>
          </w:p>
        </w:tc>
        <w:tc>
          <w:tcPr>
            <w:tcW w:w="220" w:type="dxa"/>
            <w:vAlign w:val="bottom"/>
          </w:tcPr>
          <w:p>
            <w:pPr>
              <w:ind w:left="160"/>
              <w:spacing w:after="0"/>
              <w:rPr>
                <w:sz w:val="20"/>
                <w:szCs w:val="20"/>
                <w:color w:val="auto"/>
              </w:rPr>
            </w:pPr>
            <w:r>
              <w:rPr>
                <w:rFonts w:ascii="Arial" w:cs="Arial" w:eastAsia="Arial" w:hAnsi="Arial"/>
                <w:sz w:val="11"/>
                <w:szCs w:val="11"/>
                <w:color w:val="auto"/>
              </w:rPr>
              <w:t>•</w:t>
            </w:r>
          </w:p>
        </w:tc>
        <w:tc>
          <w:tcPr>
            <w:tcW w:w="1620" w:type="dxa"/>
            <w:vAlign w:val="bottom"/>
          </w:tcPr>
          <w:p>
            <w:pPr>
              <w:ind w:left="40"/>
              <w:spacing w:after="0"/>
              <w:rPr>
                <w:sz w:val="20"/>
                <w:szCs w:val="20"/>
                <w:color w:val="auto"/>
              </w:rPr>
            </w:pPr>
            <w:r>
              <w:rPr>
                <w:rFonts w:ascii="Arial" w:cs="Arial" w:eastAsia="Arial" w:hAnsi="Arial"/>
                <w:sz w:val="11"/>
                <w:szCs w:val="11"/>
                <w:color w:val="auto"/>
              </w:rPr>
              <w:t>Enterprise Risk Management</w:t>
            </w:r>
          </w:p>
        </w:tc>
        <w:tc>
          <w:tcPr>
            <w:tcW w:w="260" w:type="dxa"/>
            <w:vAlign w:val="bottom"/>
          </w:tcPr>
          <w:p>
            <w:pPr>
              <w:spacing w:after="0"/>
              <w:rPr>
                <w:sz w:val="13"/>
                <w:szCs w:val="13"/>
                <w:color w:val="auto"/>
              </w:rPr>
            </w:pPr>
          </w:p>
        </w:tc>
        <w:tc>
          <w:tcPr>
            <w:tcW w:w="2200" w:type="dxa"/>
            <w:vAlign w:val="bottom"/>
          </w:tcPr>
          <w:p>
            <w:pPr>
              <w:ind w:left="40"/>
              <w:spacing w:after="0"/>
              <w:rPr>
                <w:sz w:val="20"/>
                <w:szCs w:val="20"/>
                <w:color w:val="auto"/>
              </w:rPr>
            </w:pPr>
            <w:r>
              <w:rPr>
                <w:rFonts w:ascii="Arial" w:cs="Arial" w:eastAsia="Arial" w:hAnsi="Arial"/>
                <w:sz w:val="11"/>
                <w:szCs w:val="11"/>
                <w:color w:val="auto"/>
              </w:rPr>
              <w:t>Experience</w:t>
            </w:r>
          </w:p>
        </w:tc>
      </w:tr>
      <w:tr>
        <w:trPr>
          <w:trHeight w:val="179"/>
        </w:trPr>
        <w:tc>
          <w:tcPr>
            <w:tcW w:w="1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Marketing and Sales</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Leadership Development</w:t>
            </w: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9" w:name="page20"/>
    <w:bookmarkEnd w:id="19"/>
    <w:p>
      <w:pPr>
        <w:ind w:left="1540"/>
        <w:spacing w:after="0"/>
        <w:rPr>
          <w:sz w:val="20"/>
          <w:szCs w:val="20"/>
          <w:color w:val="auto"/>
        </w:rPr>
      </w:pPr>
      <w:r>
        <w:rPr>
          <w:rFonts w:ascii="Arial" w:cs="Arial" w:eastAsia="Arial" w:hAnsi="Arial"/>
          <w:sz w:val="14"/>
          <w:szCs w:val="14"/>
          <w:b w:val="1"/>
          <w:bCs w:val="1"/>
          <w:color w:val="auto"/>
        </w:rPr>
        <w:t>Class I Director Nominee – Term Expiring in 2029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29210</wp:posOffset>
            </wp:positionV>
            <wp:extent cx="3771900" cy="1223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71900" cy="1223010"/>
                    </a:xfrm>
                    <a:prstGeom prst="rect">
                      <a:avLst/>
                    </a:prstGeom>
                    <a:noFill/>
                  </pic:spPr>
                </pic:pic>
              </a:graphicData>
            </a:graphic>
          </wp:anchor>
        </w:drawing>
      </w:r>
    </w:p>
    <w:p>
      <w:pPr>
        <w:spacing w:after="0" w:line="119" w:lineRule="exact"/>
        <w:rPr>
          <w:sz w:val="20"/>
          <w:szCs w:val="20"/>
          <w:color w:val="auto"/>
        </w:rPr>
      </w:pPr>
    </w:p>
    <w:tbl>
      <w:tblPr>
        <w:tblLayout w:type="fixed"/>
        <w:tblInd w:w="304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7"/>
                <w:szCs w:val="17"/>
                <w:b w:val="1"/>
                <w:bCs w:val="1"/>
                <w:color w:val="05445E"/>
              </w:rPr>
              <w:t>Patricia K. Wagner</w:t>
            </w:r>
          </w:p>
        </w:tc>
        <w:tc>
          <w:tcPr>
            <w:tcW w:w="1460" w:type="dxa"/>
            <w:vAlign w:val="bottom"/>
            <w:gridSpan w:val="2"/>
          </w:tcPr>
          <w:p>
            <w:pPr>
              <w:ind w:left="140"/>
              <w:spacing w:after="0"/>
              <w:rPr>
                <w:sz w:val="20"/>
                <w:szCs w:val="20"/>
                <w:color w:val="auto"/>
              </w:rPr>
            </w:pPr>
            <w:r>
              <w:rPr>
                <w:rFonts w:ascii="Arial" w:cs="Arial" w:eastAsia="Arial" w:hAnsi="Arial"/>
                <w:sz w:val="11"/>
                <w:szCs w:val="11"/>
                <w:b w:val="1"/>
                <w:bCs w:val="1"/>
                <w:color w:val="05445E"/>
              </w:rPr>
              <w:t>Apogee Committees:</w:t>
            </w: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05445E"/>
                <w:w w:val="95"/>
              </w:rPr>
              <w:t>Public Directorships:</w:t>
            </w:r>
          </w:p>
        </w:tc>
        <w:tc>
          <w:tcPr>
            <w:tcW w:w="0" w:type="dxa"/>
            <w:vAlign w:val="bottom"/>
          </w:tcPr>
          <w:p>
            <w:pPr>
              <w:spacing w:after="0"/>
              <w:rPr>
                <w:sz w:val="1"/>
                <w:szCs w:val="1"/>
                <w:color w:val="auto"/>
              </w:rPr>
            </w:pPr>
          </w:p>
        </w:tc>
      </w:tr>
      <w:tr>
        <w:trPr>
          <w:trHeight w:val="127"/>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63</w:t>
            </w:r>
          </w:p>
        </w:tc>
        <w:tc>
          <w:tcPr>
            <w:tcW w:w="320" w:type="dxa"/>
            <w:vAlign w:val="bottom"/>
          </w:tcPr>
          <w:p>
            <w:pPr>
              <w:ind w:left="260"/>
              <w:spacing w:after="0"/>
              <w:rPr>
                <w:sz w:val="20"/>
                <w:szCs w:val="20"/>
                <w:color w:val="auto"/>
              </w:rPr>
            </w:pPr>
            <w:r>
              <w:rPr>
                <w:rFonts w:ascii="Arial" w:cs="Arial" w:eastAsia="Arial" w:hAnsi="Arial"/>
                <w:sz w:val="11"/>
                <w:szCs w:val="11"/>
                <w:color w:val="auto"/>
              </w:rPr>
              <w:t>•</w:t>
            </w:r>
          </w:p>
        </w:tc>
        <w:tc>
          <w:tcPr>
            <w:tcW w:w="1140" w:type="dxa"/>
            <w:vAlign w:val="bottom"/>
          </w:tcPr>
          <w:p>
            <w:pPr>
              <w:ind w:left="40"/>
              <w:spacing w:after="0"/>
              <w:rPr>
                <w:sz w:val="20"/>
                <w:szCs w:val="20"/>
                <w:color w:val="auto"/>
              </w:rPr>
            </w:pPr>
            <w:r>
              <w:rPr>
                <w:rFonts w:ascii="Arial" w:cs="Arial" w:eastAsia="Arial" w:hAnsi="Arial"/>
                <w:sz w:val="11"/>
                <w:szCs w:val="11"/>
                <w:color w:val="auto"/>
              </w:rPr>
              <w:t>Compensation, Chair</w:t>
            </w:r>
          </w:p>
        </w:tc>
        <w:tc>
          <w:tcPr>
            <w:tcW w:w="200" w:type="dxa"/>
            <w:vAlign w:val="bottom"/>
          </w:tcPr>
          <w:p>
            <w:pPr>
              <w:ind w:left="140"/>
              <w:spacing w:after="0"/>
              <w:rPr>
                <w:sz w:val="20"/>
                <w:szCs w:val="20"/>
                <w:color w:val="auto"/>
              </w:rPr>
            </w:pPr>
            <w:r>
              <w:rPr>
                <w:rFonts w:ascii="Arial" w:cs="Arial" w:eastAsia="Arial" w:hAnsi="Arial"/>
                <w:sz w:val="11"/>
                <w:szCs w:val="11"/>
                <w:color w:val="auto"/>
              </w:rPr>
              <w:t>•</w:t>
            </w:r>
          </w:p>
        </w:tc>
        <w:tc>
          <w:tcPr>
            <w:tcW w:w="900" w:type="dxa"/>
            <w:vAlign w:val="bottom"/>
          </w:tcPr>
          <w:p>
            <w:pPr>
              <w:ind w:left="40"/>
              <w:spacing w:after="0"/>
              <w:rPr>
                <w:sz w:val="20"/>
                <w:szCs w:val="20"/>
                <w:color w:val="auto"/>
              </w:rPr>
            </w:pPr>
            <w:r>
              <w:rPr>
                <w:rFonts w:ascii="Arial" w:cs="Arial" w:eastAsia="Arial" w:hAnsi="Arial"/>
                <w:sz w:val="11"/>
                <w:szCs w:val="11"/>
                <w:color w:val="auto"/>
              </w:rPr>
              <w:t>California Water</w:t>
            </w:r>
          </w:p>
        </w:tc>
        <w:tc>
          <w:tcPr>
            <w:tcW w:w="0" w:type="dxa"/>
            <w:vAlign w:val="bottom"/>
          </w:tcPr>
          <w:p>
            <w:pPr>
              <w:spacing w:after="0"/>
              <w:rPr>
                <w:sz w:val="1"/>
                <w:szCs w:val="1"/>
                <w:color w:val="auto"/>
              </w:rPr>
            </w:pPr>
          </w:p>
        </w:tc>
      </w:tr>
      <w:tr>
        <w:trPr>
          <w:trHeight w:val="135"/>
        </w:trPr>
        <w:tc>
          <w:tcPr>
            <w:tcW w:w="1640" w:type="dxa"/>
            <w:vAlign w:val="bottom"/>
            <w:vMerge w:val="continue"/>
          </w:tcPr>
          <w:p>
            <w:pPr>
              <w:spacing w:after="0"/>
              <w:rPr>
                <w:sz w:val="11"/>
                <w:szCs w:val="11"/>
                <w:color w:val="auto"/>
              </w:rPr>
            </w:pPr>
          </w:p>
        </w:tc>
        <w:tc>
          <w:tcPr>
            <w:tcW w:w="320" w:type="dxa"/>
            <w:vAlign w:val="bottom"/>
          </w:tcPr>
          <w:p>
            <w:pPr>
              <w:ind w:left="260"/>
              <w:spacing w:after="0"/>
              <w:rPr>
                <w:sz w:val="20"/>
                <w:szCs w:val="20"/>
                <w:color w:val="auto"/>
              </w:rPr>
            </w:pPr>
            <w:r>
              <w:rPr>
                <w:rFonts w:ascii="Arial" w:cs="Arial" w:eastAsia="Arial" w:hAnsi="Arial"/>
                <w:sz w:val="11"/>
                <w:szCs w:val="11"/>
                <w:color w:val="auto"/>
              </w:rPr>
              <w:t>•</w:t>
            </w:r>
          </w:p>
        </w:tc>
        <w:tc>
          <w:tcPr>
            <w:tcW w:w="1140" w:type="dxa"/>
            <w:vAlign w:val="bottom"/>
          </w:tcPr>
          <w:p>
            <w:pPr>
              <w:ind w:left="40"/>
              <w:spacing w:after="0"/>
              <w:rPr>
                <w:sz w:val="20"/>
                <w:szCs w:val="20"/>
                <w:color w:val="auto"/>
              </w:rPr>
            </w:pPr>
            <w:r>
              <w:rPr>
                <w:rFonts w:ascii="Arial" w:cs="Arial" w:eastAsia="Arial" w:hAnsi="Arial"/>
                <w:sz w:val="11"/>
                <w:szCs w:val="11"/>
                <w:color w:val="auto"/>
              </w:rPr>
              <w:t>Nominating and</w:t>
            </w:r>
          </w:p>
        </w:tc>
        <w:tc>
          <w:tcPr>
            <w:tcW w:w="200" w:type="dxa"/>
            <w:vAlign w:val="bottom"/>
          </w:tcPr>
          <w:p>
            <w:pPr>
              <w:spacing w:after="0"/>
              <w:rPr>
                <w:sz w:val="11"/>
                <w:szCs w:val="11"/>
                <w:color w:val="auto"/>
              </w:rPr>
            </w:pPr>
          </w:p>
        </w:tc>
        <w:tc>
          <w:tcPr>
            <w:tcW w:w="900" w:type="dxa"/>
            <w:vAlign w:val="bottom"/>
          </w:tcPr>
          <w:p>
            <w:pPr>
              <w:ind w:left="40"/>
              <w:spacing w:after="0"/>
              <w:rPr>
                <w:sz w:val="20"/>
                <w:szCs w:val="20"/>
                <w:color w:val="auto"/>
              </w:rPr>
            </w:pPr>
            <w:r>
              <w:rPr>
                <w:rFonts w:ascii="Arial" w:cs="Arial" w:eastAsia="Arial" w:hAnsi="Arial"/>
                <w:sz w:val="11"/>
                <w:szCs w:val="11"/>
                <w:color w:val="auto"/>
              </w:rPr>
              <w:t>Services Group</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2016</w:t>
            </w:r>
          </w:p>
        </w:tc>
        <w:tc>
          <w:tcPr>
            <w:tcW w:w="3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1"/>
                <w:szCs w:val="11"/>
                <w:color w:val="auto"/>
                <w:w w:val="96"/>
              </w:rPr>
              <w:t>Corporate Governance</w:t>
            </w:r>
          </w:p>
        </w:tc>
        <w:tc>
          <w:tcPr>
            <w:tcW w:w="200" w:type="dxa"/>
            <w:vAlign w:val="bottom"/>
            <w:vMerge w:val="restart"/>
          </w:tcPr>
          <w:p>
            <w:pPr>
              <w:ind w:left="140"/>
              <w:spacing w:after="0"/>
              <w:rPr>
                <w:sz w:val="20"/>
                <w:szCs w:val="20"/>
                <w:color w:val="auto"/>
              </w:rPr>
            </w:pPr>
            <w:r>
              <w:rPr>
                <w:rFonts w:ascii="Arial" w:cs="Arial" w:eastAsia="Arial" w:hAnsi="Arial"/>
                <w:sz w:val="11"/>
                <w:szCs w:val="11"/>
                <w:color w:val="auto"/>
              </w:rPr>
              <w:t>•</w:t>
            </w:r>
          </w:p>
        </w:tc>
        <w:tc>
          <w:tcPr>
            <w:tcW w:w="900" w:type="dxa"/>
            <w:vAlign w:val="bottom"/>
          </w:tcPr>
          <w:p>
            <w:pPr>
              <w:ind w:left="40"/>
              <w:spacing w:after="0"/>
              <w:rPr>
                <w:sz w:val="20"/>
                <w:szCs w:val="20"/>
                <w:color w:val="auto"/>
              </w:rPr>
            </w:pPr>
            <w:r>
              <w:rPr>
                <w:rFonts w:ascii="Arial" w:cs="Arial" w:eastAsia="Arial" w:hAnsi="Arial"/>
                <w:sz w:val="11"/>
                <w:szCs w:val="11"/>
                <w:color w:val="auto"/>
              </w:rPr>
              <w:t>(2019 – Present)</w:t>
            </w:r>
          </w:p>
        </w:tc>
        <w:tc>
          <w:tcPr>
            <w:tcW w:w="0" w:type="dxa"/>
            <w:vAlign w:val="bottom"/>
          </w:tcPr>
          <w:p>
            <w:pPr>
              <w:spacing w:after="0"/>
              <w:rPr>
                <w:sz w:val="1"/>
                <w:szCs w:val="1"/>
                <w:color w:val="auto"/>
              </w:rPr>
            </w:pPr>
          </w:p>
        </w:tc>
      </w:tr>
      <w:tr>
        <w:trPr>
          <w:trHeight w:val="135"/>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Independent</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00" w:type="dxa"/>
            <w:vAlign w:val="bottom"/>
          </w:tcPr>
          <w:p>
            <w:pPr>
              <w:ind w:left="40"/>
              <w:spacing w:after="0"/>
              <w:rPr>
                <w:sz w:val="20"/>
                <w:szCs w:val="20"/>
                <w:color w:val="auto"/>
              </w:rPr>
            </w:pPr>
            <w:r>
              <w:rPr>
                <w:rFonts w:ascii="Arial" w:cs="Arial" w:eastAsia="Arial" w:hAnsi="Arial"/>
                <w:sz w:val="11"/>
                <w:szCs w:val="11"/>
                <w:color w:val="auto"/>
                <w:w w:val="98"/>
              </w:rPr>
              <w:t>Primoris Services</w:t>
            </w: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restart"/>
          </w:tcPr>
          <w:p>
            <w:pPr>
              <w:ind w:left="40"/>
              <w:spacing w:after="0"/>
              <w:rPr>
                <w:sz w:val="20"/>
                <w:szCs w:val="20"/>
                <w:color w:val="auto"/>
              </w:rPr>
            </w:pPr>
            <w:r>
              <w:rPr>
                <w:rFonts w:ascii="Arial" w:cs="Arial" w:eastAsia="Arial" w:hAnsi="Arial"/>
                <w:sz w:val="11"/>
                <w:szCs w:val="11"/>
                <w:color w:val="auto"/>
              </w:rPr>
              <w:t>Corporation</w:t>
            </w:r>
          </w:p>
        </w:tc>
        <w:tc>
          <w:tcPr>
            <w:tcW w:w="0" w:type="dxa"/>
            <w:vAlign w:val="bottom"/>
          </w:tcPr>
          <w:p>
            <w:pPr>
              <w:spacing w:after="0"/>
              <w:rPr>
                <w:sz w:val="1"/>
                <w:szCs w:val="1"/>
                <w:color w:val="auto"/>
              </w:rPr>
            </w:pPr>
          </w:p>
        </w:tc>
      </w:tr>
      <w:tr>
        <w:trPr>
          <w:trHeight w:val="60"/>
        </w:trPr>
        <w:tc>
          <w:tcPr>
            <w:tcW w:w="1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6380"/>
        <w:spacing w:after="0"/>
        <w:rPr>
          <w:sz w:val="20"/>
          <w:szCs w:val="20"/>
          <w:color w:val="auto"/>
        </w:rPr>
      </w:pPr>
      <w:r>
        <w:rPr>
          <w:rFonts w:ascii="Arial" w:cs="Arial" w:eastAsia="Arial" w:hAnsi="Arial"/>
          <w:sz w:val="11"/>
          <w:szCs w:val="11"/>
          <w:color w:val="auto"/>
        </w:rPr>
        <w:t>(2020 –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540" w:right="1559"/>
        <w:spacing w:after="0" w:line="276" w:lineRule="auto"/>
        <w:rPr>
          <w:sz w:val="20"/>
          <w:szCs w:val="20"/>
          <w:color w:val="auto"/>
        </w:rPr>
      </w:pPr>
      <w:r>
        <w:rPr>
          <w:rFonts w:ascii="Arial" w:cs="Arial" w:eastAsia="Arial" w:hAnsi="Arial"/>
          <w:sz w:val="10"/>
          <w:szCs w:val="10"/>
          <w:b w:val="1"/>
          <w:bCs w:val="1"/>
          <w:color w:val="05445E"/>
        </w:rPr>
        <w:t xml:space="preserve">Ms. Wagner </w:t>
      </w:r>
      <w:r>
        <w:rPr>
          <w:rFonts w:ascii="Arial" w:cs="Arial" w:eastAsia="Arial" w:hAnsi="Arial"/>
          <w:sz w:val="10"/>
          <w:szCs w:val="10"/>
          <w:color w:val="000000"/>
        </w:rPr>
        <w:t>retired from Sempra Energy, a Fortune 500 energy services holding company, in 2019, after 24 years of</w:t>
      </w:r>
      <w:r>
        <w:rPr>
          <w:rFonts w:ascii="Arial" w:cs="Arial" w:eastAsia="Arial" w:hAnsi="Arial"/>
          <w:sz w:val="10"/>
          <w:szCs w:val="10"/>
          <w:b w:val="1"/>
          <w:bCs w:val="1"/>
          <w:color w:val="05445E"/>
        </w:rPr>
        <w:t xml:space="preserve"> </w:t>
      </w:r>
      <w:r>
        <w:rPr>
          <w:rFonts w:ascii="Arial" w:cs="Arial" w:eastAsia="Arial" w:hAnsi="Arial"/>
          <w:sz w:val="10"/>
          <w:szCs w:val="10"/>
          <w:color w:val="000000"/>
        </w:rPr>
        <w:t>service with Sempra Energy Companies. She served as Group President of U.S. Utilities, overseeing San Diego Gas &amp; Electric, Southern California Gas Company (“SoCalGas”) and Sempra Energy’s investment in Oncor Electric Delivery Company LLC, from 2018 to 2019. She has served in several leadership positions for the Sempra Energy family of companies, including Chief Executive Officer of SoCalGas from 2017 to 2018; Executive Vice President of Sempra Energy in 2016; President and Chief Executive Officer of Sempra U.S. Gas &amp; Power from 2014 to 2016; and other leadership positions for the Sempra Energy family of companies from 1995 to 2014. Prior to joining Sempra Energy, Ms. Wagner held management positions at Fluor Daniel, an engineering, procurement, construction and maintenance services company. Earlier in her career, Ms. Wagner held positions at McGaw Laboratories and Allergan Pharmaceuticals.</w:t>
      </w:r>
    </w:p>
    <w:p>
      <w:pPr>
        <w:spacing w:after="0" w:line="52" w:lineRule="exact"/>
        <w:rPr>
          <w:sz w:val="20"/>
          <w:szCs w:val="20"/>
          <w:color w:val="auto"/>
        </w:rPr>
      </w:pPr>
    </w:p>
    <w:p>
      <w:pPr>
        <w:jc w:val="both"/>
        <w:ind w:left="1540" w:right="1559"/>
        <w:spacing w:after="0" w:line="268" w:lineRule="auto"/>
        <w:rPr>
          <w:sz w:val="20"/>
          <w:szCs w:val="20"/>
          <w:color w:val="auto"/>
        </w:rPr>
      </w:pPr>
      <w:r>
        <w:rPr>
          <w:rFonts w:ascii="Arial" w:cs="Arial" w:eastAsia="Arial" w:hAnsi="Arial"/>
          <w:sz w:val="11"/>
          <w:szCs w:val="11"/>
          <w:color w:val="auto"/>
        </w:rPr>
        <w:t>Ms. Wagner holds an MBA from Pepperdine University and a B.S. in Chemical Engineering from California State Polytechnic University, Pomona.</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1"/>
          <w:szCs w:val="11"/>
          <w:b w:val="1"/>
          <w:bCs w:val="1"/>
          <w:color w:val="05445E"/>
        </w:rPr>
        <w:t>Skills &amp; Qualifications:</w:t>
      </w:r>
    </w:p>
    <w:p>
      <w:pPr>
        <w:spacing w:after="0" w:line="63" w:lineRule="exact"/>
        <w:rPr>
          <w:sz w:val="20"/>
          <w:szCs w:val="20"/>
          <w:color w:val="auto"/>
        </w:rPr>
      </w:pPr>
    </w:p>
    <w:tbl>
      <w:tblPr>
        <w:tblLayout w:type="fixed"/>
        <w:tblInd w:w="1540" w:type="dxa"/>
        <w:tblCellMar>
          <w:top w:w="0" w:type="dxa"/>
          <w:left w:w="0" w:type="dxa"/>
          <w:bottom w:w="0" w:type="dxa"/>
          <w:right w:w="0" w:type="dxa"/>
        </w:tblCellMar>
      </w:tblPr>
      <w:tr>
        <w:trPr>
          <w:trHeight w:val="142"/>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280" w:type="dxa"/>
            <w:vAlign w:val="bottom"/>
          </w:tcPr>
          <w:p>
            <w:pPr>
              <w:ind w:left="200"/>
              <w:spacing w:after="0"/>
              <w:rPr>
                <w:sz w:val="20"/>
                <w:szCs w:val="20"/>
                <w:color w:val="auto"/>
              </w:rPr>
            </w:pPr>
            <w:r>
              <w:rPr>
                <w:rFonts w:ascii="Arial" w:cs="Arial" w:eastAsia="Arial" w:hAnsi="Arial"/>
                <w:sz w:val="11"/>
                <w:szCs w:val="11"/>
                <w:color w:val="auto"/>
              </w:rPr>
              <w:t>•</w:t>
            </w:r>
          </w:p>
        </w:tc>
        <w:tc>
          <w:tcPr>
            <w:tcW w:w="1620" w:type="dxa"/>
            <w:vAlign w:val="bottom"/>
          </w:tcPr>
          <w:p>
            <w:pPr>
              <w:ind w:left="20"/>
              <w:spacing w:after="0"/>
              <w:rPr>
                <w:sz w:val="20"/>
                <w:szCs w:val="20"/>
                <w:color w:val="auto"/>
              </w:rPr>
            </w:pPr>
            <w:r>
              <w:rPr>
                <w:rFonts w:ascii="Arial" w:cs="Arial" w:eastAsia="Arial" w:hAnsi="Arial"/>
                <w:sz w:val="11"/>
                <w:szCs w:val="11"/>
                <w:color w:val="auto"/>
              </w:rPr>
              <w:t>Energy Industry</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60" w:type="dxa"/>
            <w:vAlign w:val="bottom"/>
          </w:tcPr>
          <w:p>
            <w:pPr>
              <w:ind w:left="20"/>
              <w:spacing w:after="0"/>
              <w:rPr>
                <w:sz w:val="20"/>
                <w:szCs w:val="20"/>
                <w:color w:val="auto"/>
              </w:rPr>
            </w:pPr>
            <w:r>
              <w:rPr>
                <w:rFonts w:ascii="Arial" w:cs="Arial" w:eastAsia="Arial" w:hAnsi="Arial"/>
                <w:sz w:val="11"/>
                <w:szCs w:val="11"/>
                <w:color w:val="auto"/>
              </w:rPr>
              <w:t>Leadership Development</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Business Operations</w:t>
            </w:r>
          </w:p>
        </w:tc>
        <w:tc>
          <w:tcPr>
            <w:tcW w:w="280" w:type="dxa"/>
            <w:vAlign w:val="bottom"/>
          </w:tcPr>
          <w:p>
            <w:pPr>
              <w:ind w:left="200"/>
              <w:spacing w:after="0"/>
              <w:rPr>
                <w:sz w:val="20"/>
                <w:szCs w:val="20"/>
                <w:color w:val="auto"/>
              </w:rPr>
            </w:pPr>
            <w:r>
              <w:rPr>
                <w:rFonts w:ascii="Arial" w:cs="Arial" w:eastAsia="Arial" w:hAnsi="Arial"/>
                <w:sz w:val="11"/>
                <w:szCs w:val="11"/>
                <w:color w:val="auto"/>
              </w:rPr>
              <w:t>•</w:t>
            </w:r>
          </w:p>
        </w:tc>
        <w:tc>
          <w:tcPr>
            <w:tcW w:w="1620" w:type="dxa"/>
            <w:vAlign w:val="bottom"/>
          </w:tcPr>
          <w:p>
            <w:pPr>
              <w:ind w:left="20"/>
              <w:spacing w:after="0"/>
              <w:rPr>
                <w:sz w:val="20"/>
                <w:szCs w:val="20"/>
                <w:color w:val="auto"/>
              </w:rPr>
            </w:pPr>
            <w:r>
              <w:rPr>
                <w:rFonts w:ascii="Arial" w:cs="Arial" w:eastAsia="Arial" w:hAnsi="Arial"/>
                <w:sz w:val="11"/>
                <w:szCs w:val="11"/>
                <w:color w:val="auto"/>
              </w:rPr>
              <w:t>Enterprise Risk Management</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60" w:type="dxa"/>
            <w:vAlign w:val="bottom"/>
          </w:tcPr>
          <w:p>
            <w:pPr>
              <w:ind w:left="20"/>
              <w:spacing w:after="0"/>
              <w:rPr>
                <w:sz w:val="20"/>
                <w:szCs w:val="20"/>
                <w:color w:val="auto"/>
              </w:rPr>
            </w:pPr>
            <w:r>
              <w:rPr>
                <w:rFonts w:ascii="Arial" w:cs="Arial" w:eastAsia="Arial" w:hAnsi="Arial"/>
                <w:sz w:val="11"/>
                <w:szCs w:val="11"/>
                <w:color w:val="auto"/>
              </w:rPr>
              <w:t>Executive Compensation</w:t>
            </w:r>
          </w:p>
        </w:tc>
      </w:tr>
      <w:tr>
        <w:trPr>
          <w:trHeight w:val="137"/>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Financial Management</w:t>
            </w:r>
          </w:p>
        </w:tc>
        <w:tc>
          <w:tcPr>
            <w:tcW w:w="280" w:type="dxa"/>
            <w:vAlign w:val="bottom"/>
          </w:tcPr>
          <w:p>
            <w:pPr>
              <w:ind w:left="200"/>
              <w:spacing w:after="0"/>
              <w:rPr>
                <w:sz w:val="20"/>
                <w:szCs w:val="20"/>
                <w:color w:val="auto"/>
              </w:rPr>
            </w:pPr>
            <w:r>
              <w:rPr>
                <w:rFonts w:ascii="Arial" w:cs="Arial" w:eastAsia="Arial" w:hAnsi="Arial"/>
                <w:sz w:val="11"/>
                <w:szCs w:val="11"/>
                <w:color w:val="auto"/>
              </w:rPr>
              <w:t>•</w:t>
            </w:r>
          </w:p>
        </w:tc>
        <w:tc>
          <w:tcPr>
            <w:tcW w:w="162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60" w:type="dxa"/>
            <w:vAlign w:val="bottom"/>
          </w:tcPr>
          <w:p>
            <w:pPr>
              <w:ind w:left="20"/>
              <w:spacing w:after="0"/>
              <w:rPr>
                <w:sz w:val="20"/>
                <w:szCs w:val="20"/>
                <w:color w:val="auto"/>
              </w:rPr>
            </w:pPr>
            <w:r>
              <w:rPr>
                <w:rFonts w:ascii="Arial" w:cs="Arial" w:eastAsia="Arial" w:hAnsi="Arial"/>
                <w:sz w:val="11"/>
                <w:szCs w:val="11"/>
                <w:color w:val="auto"/>
              </w:rPr>
              <w:t>Corporate Governance</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Accounting and Audit</w:t>
            </w:r>
          </w:p>
        </w:tc>
        <w:tc>
          <w:tcPr>
            <w:tcW w:w="280" w:type="dxa"/>
            <w:vAlign w:val="bottom"/>
          </w:tcPr>
          <w:p>
            <w:pPr>
              <w:spacing w:after="0"/>
              <w:rPr>
                <w:sz w:val="13"/>
                <w:szCs w:val="13"/>
                <w:color w:val="auto"/>
              </w:rPr>
            </w:pPr>
          </w:p>
        </w:tc>
        <w:tc>
          <w:tcPr>
            <w:tcW w:w="1620" w:type="dxa"/>
            <w:vAlign w:val="bottom"/>
          </w:tcPr>
          <w:p>
            <w:pPr>
              <w:ind w:left="40"/>
              <w:spacing w:after="0"/>
              <w:rPr>
                <w:sz w:val="20"/>
                <w:szCs w:val="20"/>
                <w:color w:val="auto"/>
              </w:rPr>
            </w:pPr>
            <w:r>
              <w:rPr>
                <w:rFonts w:ascii="Arial" w:cs="Arial" w:eastAsia="Arial" w:hAnsi="Arial"/>
                <w:sz w:val="11"/>
                <w:szCs w:val="11"/>
                <w:color w:val="auto"/>
              </w:rPr>
              <w:t>including Cybersecurity</w:t>
            </w:r>
          </w:p>
        </w:tc>
        <w:tc>
          <w:tcPr>
            <w:tcW w:w="260" w:type="dxa"/>
            <w:vAlign w:val="bottom"/>
          </w:tcPr>
          <w:p>
            <w:pPr>
              <w:ind w:left="180"/>
              <w:spacing w:after="0"/>
              <w:rPr>
                <w:sz w:val="20"/>
                <w:szCs w:val="20"/>
                <w:color w:val="auto"/>
              </w:rPr>
            </w:pPr>
            <w:r>
              <w:rPr>
                <w:rFonts w:ascii="Arial" w:cs="Arial" w:eastAsia="Arial" w:hAnsi="Arial"/>
                <w:sz w:val="11"/>
                <w:szCs w:val="11"/>
                <w:color w:val="auto"/>
              </w:rPr>
              <w:t>•</w:t>
            </w:r>
          </w:p>
        </w:tc>
        <w:tc>
          <w:tcPr>
            <w:tcW w:w="2260" w:type="dxa"/>
            <w:vAlign w:val="bottom"/>
          </w:tcPr>
          <w:p>
            <w:pPr>
              <w:ind w:left="20"/>
              <w:spacing w:after="0"/>
              <w:rPr>
                <w:sz w:val="20"/>
                <w:szCs w:val="20"/>
                <w:color w:val="auto"/>
              </w:rPr>
            </w:pPr>
            <w:r>
              <w:rPr>
                <w:rFonts w:ascii="Arial" w:cs="Arial" w:eastAsia="Arial" w:hAnsi="Arial"/>
                <w:sz w:val="11"/>
                <w:szCs w:val="11"/>
                <w:color w:val="auto"/>
              </w:rPr>
              <w:t>Public Company Board Experience</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Strategy Development</w:t>
            </w:r>
          </w:p>
        </w:tc>
        <w:tc>
          <w:tcPr>
            <w:tcW w:w="280" w:type="dxa"/>
            <w:vAlign w:val="bottom"/>
          </w:tcPr>
          <w:p>
            <w:pPr>
              <w:ind w:left="200"/>
              <w:spacing w:after="0"/>
              <w:rPr>
                <w:sz w:val="20"/>
                <w:szCs w:val="20"/>
                <w:color w:val="auto"/>
              </w:rPr>
            </w:pPr>
            <w:r>
              <w:rPr>
                <w:rFonts w:ascii="Arial" w:cs="Arial" w:eastAsia="Arial" w:hAnsi="Arial"/>
                <w:sz w:val="11"/>
                <w:szCs w:val="11"/>
                <w:color w:val="auto"/>
              </w:rPr>
              <w:t>•</w:t>
            </w:r>
          </w:p>
        </w:tc>
        <w:tc>
          <w:tcPr>
            <w:tcW w:w="1620" w:type="dxa"/>
            <w:vAlign w:val="bottom"/>
          </w:tcPr>
          <w:p>
            <w:pPr>
              <w:ind w:left="20"/>
              <w:spacing w:after="0"/>
              <w:rPr>
                <w:sz w:val="20"/>
                <w:szCs w:val="20"/>
                <w:color w:val="auto"/>
              </w:rPr>
            </w:pPr>
            <w:r>
              <w:rPr>
                <w:rFonts w:ascii="Arial" w:cs="Arial" w:eastAsia="Arial" w:hAnsi="Arial"/>
                <w:sz w:val="11"/>
                <w:szCs w:val="11"/>
                <w:color w:val="auto"/>
              </w:rPr>
              <w:t>Mergers and Acquisitions</w:t>
            </w:r>
          </w:p>
        </w:tc>
        <w:tc>
          <w:tcPr>
            <w:tcW w:w="26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52"/>
        </w:trPr>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and Execution</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w:t>
            </w: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Regulatory Compliance</w:t>
            </w:r>
          </w:p>
        </w:tc>
        <w:tc>
          <w:tcPr>
            <w:tcW w:w="2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Class II Directors – 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23495</wp:posOffset>
            </wp:positionV>
            <wp:extent cx="948690" cy="1223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8690" cy="122301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400" w:type="dxa"/>
            <w:vAlign w:val="bottom"/>
            <w:shd w:val="clear" w:color="auto" w:fill="D9D9D9"/>
          </w:tcPr>
          <w:p>
            <w:pPr>
              <w:ind w:left="2220"/>
              <w:spacing w:after="0"/>
              <w:rPr>
                <w:sz w:val="20"/>
                <w:szCs w:val="20"/>
                <w:color w:val="auto"/>
              </w:rPr>
            </w:pPr>
            <w:r>
              <w:rPr>
                <w:rFonts w:ascii="Arial" w:cs="Arial" w:eastAsia="Arial" w:hAnsi="Arial"/>
                <w:sz w:val="17"/>
                <w:szCs w:val="17"/>
                <w:b w:val="1"/>
                <w:bCs w:val="1"/>
                <w:color w:val="05445E"/>
              </w:rPr>
              <w:t>Christina M. Alvord</w:t>
            </w:r>
          </w:p>
        </w:tc>
        <w:tc>
          <w:tcPr>
            <w:tcW w:w="2700" w:type="dxa"/>
            <w:vAlign w:val="bottom"/>
            <w:tcBorders>
              <w:right w:val="single" w:sz="8" w:color="DBDBDB"/>
            </w:tcBorders>
            <w:shd w:val="clear" w:color="auto" w:fill="D9D9D9"/>
          </w:tcPr>
          <w:p>
            <w:pPr>
              <w:ind w:left="640"/>
              <w:spacing w:after="0"/>
              <w:rPr>
                <w:sz w:val="20"/>
                <w:szCs w:val="20"/>
                <w:color w:val="auto"/>
              </w:rPr>
            </w:pPr>
            <w:r>
              <w:rPr>
                <w:rFonts w:ascii="Arial" w:cs="Arial" w:eastAsia="Arial" w:hAnsi="Arial"/>
                <w:sz w:val="12"/>
                <w:szCs w:val="12"/>
                <w:b w:val="1"/>
                <w:bCs w:val="1"/>
                <w:color w:val="05445E"/>
              </w:rPr>
              <w:t>Apogee Committees:</w:t>
            </w:r>
          </w:p>
        </w:tc>
        <w:tc>
          <w:tcPr>
            <w:tcW w:w="2040" w:type="dxa"/>
            <w:vAlign w:val="bottom"/>
            <w:gridSpan w:val="2"/>
            <w:shd w:val="clear" w:color="auto" w:fill="D9D9D9"/>
          </w:tcPr>
          <w:p>
            <w:pPr>
              <w:spacing w:after="0"/>
              <w:rPr>
                <w:sz w:val="20"/>
                <w:szCs w:val="20"/>
                <w:color w:val="auto"/>
              </w:rPr>
            </w:pPr>
            <w:r>
              <w:rPr>
                <w:rFonts w:ascii="Arial" w:cs="Arial" w:eastAsia="Arial" w:hAnsi="Arial"/>
                <w:sz w:val="11"/>
                <w:szCs w:val="11"/>
                <w:b w:val="1"/>
                <w:bCs w:val="1"/>
                <w:color w:val="05445E"/>
              </w:rPr>
              <w:t>Public Directorships:</w:t>
            </w:r>
          </w:p>
        </w:tc>
        <w:tc>
          <w:tcPr>
            <w:tcW w:w="0" w:type="dxa"/>
            <w:vAlign w:val="bottom"/>
          </w:tcPr>
          <w:p>
            <w:pPr>
              <w:spacing w:after="0"/>
              <w:rPr>
                <w:sz w:val="1"/>
                <w:szCs w:val="1"/>
                <w:color w:val="auto"/>
              </w:rPr>
            </w:pPr>
          </w:p>
        </w:tc>
      </w:tr>
      <w:tr>
        <w:trPr>
          <w:trHeight w:val="126"/>
        </w:trPr>
        <w:tc>
          <w:tcPr>
            <w:tcW w:w="4400" w:type="dxa"/>
            <w:vAlign w:val="bottom"/>
            <w:vMerge w:val="restart"/>
            <w:shd w:val="clear" w:color="auto" w:fill="D9D9D9"/>
          </w:tcPr>
          <w:p>
            <w:pPr>
              <w:ind w:left="222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59</w:t>
            </w:r>
          </w:p>
        </w:tc>
        <w:tc>
          <w:tcPr>
            <w:tcW w:w="2700" w:type="dxa"/>
            <w:vAlign w:val="bottom"/>
            <w:tcBorders>
              <w:right w:val="single" w:sz="8" w:color="DBDBDB"/>
            </w:tcBorders>
            <w:shd w:val="clear" w:color="auto" w:fill="D9D9D9"/>
          </w:tcPr>
          <w:p>
            <w:pPr>
              <w:ind w:left="740"/>
              <w:spacing w:after="0" w:line="126" w:lineRule="exact"/>
              <w:rPr>
                <w:sz w:val="20"/>
                <w:szCs w:val="20"/>
                <w:color w:val="auto"/>
              </w:rPr>
            </w:pPr>
            <w:r>
              <w:rPr>
                <w:rFonts w:ascii="Arial" w:cs="Arial" w:eastAsia="Arial" w:hAnsi="Arial"/>
                <w:sz w:val="12"/>
                <w:szCs w:val="12"/>
                <w:color w:val="auto"/>
              </w:rPr>
              <w:t>• Audit</w:t>
            </w:r>
          </w:p>
        </w:tc>
        <w:tc>
          <w:tcPr>
            <w:tcW w:w="180" w:type="dxa"/>
            <w:vAlign w:val="bottom"/>
            <w:shd w:val="clear" w:color="auto" w:fill="D9D9D9"/>
          </w:tcPr>
          <w:p>
            <w:pPr>
              <w:ind w:left="100"/>
              <w:spacing w:after="0"/>
              <w:rPr>
                <w:sz w:val="20"/>
                <w:szCs w:val="20"/>
                <w:color w:val="auto"/>
              </w:rPr>
            </w:pPr>
            <w:r>
              <w:rPr>
                <w:rFonts w:ascii="Arial" w:cs="Arial" w:eastAsia="Arial" w:hAnsi="Arial"/>
                <w:sz w:val="11"/>
                <w:szCs w:val="11"/>
                <w:color w:val="auto"/>
              </w:rPr>
              <w:t>•</w:t>
            </w:r>
          </w:p>
        </w:tc>
        <w:tc>
          <w:tcPr>
            <w:tcW w:w="1860" w:type="dxa"/>
            <w:vAlign w:val="bottom"/>
            <w:shd w:val="clear" w:color="auto" w:fill="D9D9D9"/>
          </w:tcPr>
          <w:p>
            <w:pPr>
              <w:ind w:left="20"/>
              <w:spacing w:after="0"/>
              <w:rPr>
                <w:sz w:val="20"/>
                <w:szCs w:val="20"/>
                <w:color w:val="auto"/>
              </w:rPr>
            </w:pPr>
            <w:r>
              <w:rPr>
                <w:rFonts w:ascii="Arial" w:cs="Arial" w:eastAsia="Arial" w:hAnsi="Arial"/>
                <w:sz w:val="11"/>
                <w:szCs w:val="11"/>
                <w:color w:val="auto"/>
              </w:rPr>
              <w:t>Albany International Corp.</w:t>
            </w:r>
          </w:p>
        </w:tc>
        <w:tc>
          <w:tcPr>
            <w:tcW w:w="0" w:type="dxa"/>
            <w:vAlign w:val="bottom"/>
          </w:tcPr>
          <w:p>
            <w:pPr>
              <w:spacing w:after="0"/>
              <w:rPr>
                <w:sz w:val="1"/>
                <w:szCs w:val="1"/>
                <w:color w:val="auto"/>
              </w:rPr>
            </w:pPr>
          </w:p>
        </w:tc>
      </w:tr>
      <w:tr>
        <w:trPr>
          <w:trHeight w:val="142"/>
        </w:trPr>
        <w:tc>
          <w:tcPr>
            <w:tcW w:w="4400" w:type="dxa"/>
            <w:vAlign w:val="bottom"/>
            <w:vMerge w:val="continue"/>
            <w:shd w:val="clear" w:color="auto" w:fill="D9D9D9"/>
          </w:tcPr>
          <w:p>
            <w:pPr>
              <w:spacing w:after="0"/>
              <w:rPr>
                <w:sz w:val="12"/>
                <w:szCs w:val="12"/>
                <w:color w:val="auto"/>
              </w:rPr>
            </w:pPr>
          </w:p>
        </w:tc>
        <w:tc>
          <w:tcPr>
            <w:tcW w:w="2700" w:type="dxa"/>
            <w:vAlign w:val="bottom"/>
            <w:tcBorders>
              <w:right w:val="single" w:sz="8" w:color="DBDBDB"/>
            </w:tcBorders>
            <w:vMerge w:val="restart"/>
            <w:shd w:val="clear" w:color="auto" w:fill="D9D9D9"/>
          </w:tcPr>
          <w:p>
            <w:pPr>
              <w:ind w:left="740"/>
              <w:spacing w:after="0"/>
              <w:rPr>
                <w:sz w:val="20"/>
                <w:szCs w:val="20"/>
                <w:color w:val="auto"/>
              </w:rPr>
            </w:pPr>
            <w:r>
              <w:rPr>
                <w:rFonts w:ascii="Arial" w:cs="Arial" w:eastAsia="Arial" w:hAnsi="Arial"/>
                <w:sz w:val="12"/>
                <w:szCs w:val="12"/>
                <w:color w:val="auto"/>
              </w:rPr>
              <w:t>• Nominating and Corporate</w:t>
            </w:r>
          </w:p>
        </w:tc>
        <w:tc>
          <w:tcPr>
            <w:tcW w:w="180" w:type="dxa"/>
            <w:vAlign w:val="bottom"/>
            <w:shd w:val="clear" w:color="auto" w:fill="D9D9D9"/>
          </w:tcPr>
          <w:p>
            <w:pPr>
              <w:spacing w:after="0"/>
              <w:rPr>
                <w:sz w:val="12"/>
                <w:szCs w:val="12"/>
                <w:color w:val="auto"/>
              </w:rPr>
            </w:pPr>
          </w:p>
        </w:tc>
        <w:tc>
          <w:tcPr>
            <w:tcW w:w="1860" w:type="dxa"/>
            <w:vAlign w:val="bottom"/>
            <w:shd w:val="clear" w:color="auto" w:fill="D9D9D9"/>
          </w:tcPr>
          <w:p>
            <w:pPr>
              <w:ind w:left="40"/>
              <w:spacing w:after="0"/>
              <w:rPr>
                <w:sz w:val="20"/>
                <w:szCs w:val="20"/>
                <w:color w:val="auto"/>
              </w:rPr>
            </w:pPr>
            <w:r>
              <w:rPr>
                <w:rFonts w:ascii="Arial" w:cs="Arial" w:eastAsia="Arial" w:hAnsi="Arial"/>
                <w:sz w:val="11"/>
                <w:szCs w:val="11"/>
                <w:color w:val="auto"/>
              </w:rPr>
              <w:t>(2022 – Present)</w:t>
            </w:r>
          </w:p>
        </w:tc>
        <w:tc>
          <w:tcPr>
            <w:tcW w:w="0" w:type="dxa"/>
            <w:vAlign w:val="bottom"/>
          </w:tcPr>
          <w:p>
            <w:pPr>
              <w:spacing w:after="0"/>
              <w:rPr>
                <w:sz w:val="1"/>
                <w:szCs w:val="1"/>
                <w:color w:val="auto"/>
              </w:rPr>
            </w:pPr>
          </w:p>
        </w:tc>
      </w:tr>
      <w:tr>
        <w:trPr>
          <w:trHeight w:val="52"/>
        </w:trPr>
        <w:tc>
          <w:tcPr>
            <w:tcW w:w="4400" w:type="dxa"/>
            <w:vAlign w:val="bottom"/>
            <w:vMerge w:val="restart"/>
            <w:shd w:val="clear" w:color="auto" w:fill="D9D9D9"/>
          </w:tcPr>
          <w:p>
            <w:pPr>
              <w:ind w:left="22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2020</w:t>
            </w:r>
          </w:p>
        </w:tc>
        <w:tc>
          <w:tcPr>
            <w:tcW w:w="2700" w:type="dxa"/>
            <w:vAlign w:val="bottom"/>
            <w:tcBorders>
              <w:right w:val="single" w:sz="8" w:color="DBDBDB"/>
            </w:tcBorders>
            <w:vMerge w:val="continue"/>
            <w:shd w:val="clear" w:color="auto" w:fill="D9D9D9"/>
          </w:tcPr>
          <w:p>
            <w:pPr>
              <w:spacing w:after="0"/>
              <w:rPr>
                <w:sz w:val="4"/>
                <w:szCs w:val="4"/>
                <w:color w:val="auto"/>
              </w:rPr>
            </w:pPr>
          </w:p>
        </w:tc>
        <w:tc>
          <w:tcPr>
            <w:tcW w:w="18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w:t>
            </w:r>
          </w:p>
        </w:tc>
        <w:tc>
          <w:tcPr>
            <w:tcW w:w="1860" w:type="dxa"/>
            <w:vAlign w:val="bottom"/>
            <w:vMerge w:val="restart"/>
            <w:shd w:val="clear" w:color="auto" w:fill="D9D9D9"/>
          </w:tcPr>
          <w:p>
            <w:pPr>
              <w:ind w:left="20"/>
              <w:spacing w:after="0"/>
              <w:rPr>
                <w:sz w:val="20"/>
                <w:szCs w:val="20"/>
                <w:color w:val="auto"/>
              </w:rPr>
            </w:pPr>
            <w:r>
              <w:rPr>
                <w:rFonts w:ascii="Arial" w:cs="Arial" w:eastAsia="Arial" w:hAnsi="Arial"/>
                <w:sz w:val="11"/>
                <w:szCs w:val="11"/>
                <w:color w:val="auto"/>
              </w:rPr>
              <w:t>Elevra Lithium (f/k/a Piedmont</w:t>
            </w:r>
          </w:p>
        </w:tc>
        <w:tc>
          <w:tcPr>
            <w:tcW w:w="0" w:type="dxa"/>
            <w:vAlign w:val="bottom"/>
          </w:tcPr>
          <w:p>
            <w:pPr>
              <w:spacing w:after="0"/>
              <w:rPr>
                <w:sz w:val="1"/>
                <w:szCs w:val="1"/>
                <w:color w:val="auto"/>
              </w:rPr>
            </w:pPr>
          </w:p>
        </w:tc>
      </w:tr>
      <w:tr>
        <w:trPr>
          <w:trHeight w:val="121"/>
        </w:trPr>
        <w:tc>
          <w:tcPr>
            <w:tcW w:w="4400" w:type="dxa"/>
            <w:vAlign w:val="bottom"/>
            <w:vMerge w:val="continue"/>
            <w:shd w:val="clear" w:color="auto" w:fill="D9D9D9"/>
          </w:tcPr>
          <w:p>
            <w:pPr>
              <w:spacing w:after="0"/>
              <w:rPr>
                <w:sz w:val="10"/>
                <w:szCs w:val="10"/>
                <w:color w:val="auto"/>
              </w:rPr>
            </w:pPr>
          </w:p>
        </w:tc>
        <w:tc>
          <w:tcPr>
            <w:tcW w:w="2700" w:type="dxa"/>
            <w:vAlign w:val="bottom"/>
            <w:tcBorders>
              <w:right w:val="single" w:sz="8" w:color="DBDBDB"/>
            </w:tcBorders>
            <w:shd w:val="clear" w:color="auto" w:fill="D9D9D9"/>
          </w:tcPr>
          <w:p>
            <w:pPr>
              <w:ind w:left="860"/>
              <w:spacing w:after="0" w:line="121" w:lineRule="exact"/>
              <w:rPr>
                <w:sz w:val="20"/>
                <w:szCs w:val="20"/>
                <w:color w:val="auto"/>
              </w:rPr>
            </w:pPr>
            <w:r>
              <w:rPr>
                <w:rFonts w:ascii="Arial" w:cs="Arial" w:eastAsia="Arial" w:hAnsi="Arial"/>
                <w:sz w:val="12"/>
                <w:szCs w:val="12"/>
                <w:color w:val="auto"/>
              </w:rPr>
              <w:t>Governance</w:t>
            </w:r>
          </w:p>
        </w:tc>
        <w:tc>
          <w:tcPr>
            <w:tcW w:w="180" w:type="dxa"/>
            <w:vAlign w:val="bottom"/>
            <w:vMerge w:val="continue"/>
            <w:shd w:val="clear" w:color="auto" w:fill="D9D9D9"/>
          </w:tcPr>
          <w:p>
            <w:pPr>
              <w:spacing w:after="0"/>
              <w:rPr>
                <w:sz w:val="10"/>
                <w:szCs w:val="10"/>
                <w:color w:val="auto"/>
              </w:rPr>
            </w:pPr>
          </w:p>
        </w:tc>
        <w:tc>
          <w:tcPr>
            <w:tcW w:w="186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vMerge w:val="restart"/>
            <w:shd w:val="clear" w:color="auto" w:fill="D9D9D9"/>
          </w:tcPr>
          <w:p>
            <w:pPr>
              <w:ind w:left="2220"/>
              <w:spacing w:after="0"/>
              <w:rPr>
                <w:sz w:val="20"/>
                <w:szCs w:val="20"/>
                <w:color w:val="auto"/>
              </w:rPr>
            </w:pPr>
            <w:r>
              <w:rPr>
                <w:rFonts w:ascii="Arial" w:cs="Arial" w:eastAsia="Arial" w:hAnsi="Arial"/>
                <w:sz w:val="11"/>
                <w:szCs w:val="11"/>
                <w:b w:val="1"/>
                <w:bCs w:val="1"/>
                <w:color w:val="auto"/>
              </w:rPr>
              <w:t>Independent</w:t>
            </w:r>
          </w:p>
        </w:tc>
        <w:tc>
          <w:tcPr>
            <w:tcW w:w="2700" w:type="dxa"/>
            <w:vAlign w:val="bottom"/>
            <w:tcBorders>
              <w:right w:val="single" w:sz="8" w:color="DBDBDB"/>
            </w:tcBorders>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1860" w:type="dxa"/>
            <w:vAlign w:val="bottom"/>
            <w:shd w:val="clear" w:color="auto" w:fill="D9D9D9"/>
          </w:tcPr>
          <w:p>
            <w:pPr>
              <w:ind w:left="40"/>
              <w:spacing w:after="0"/>
              <w:rPr>
                <w:sz w:val="20"/>
                <w:szCs w:val="20"/>
                <w:color w:val="auto"/>
              </w:rPr>
            </w:pPr>
            <w:r>
              <w:rPr>
                <w:rFonts w:ascii="Arial" w:cs="Arial" w:eastAsia="Arial" w:hAnsi="Arial"/>
                <w:sz w:val="11"/>
                <w:szCs w:val="11"/>
                <w:color w:val="auto"/>
              </w:rPr>
              <w:t>Lithium) (2023 – Present)</w:t>
            </w:r>
          </w:p>
        </w:tc>
        <w:tc>
          <w:tcPr>
            <w:tcW w:w="0" w:type="dxa"/>
            <w:vAlign w:val="bottom"/>
          </w:tcPr>
          <w:p>
            <w:pPr>
              <w:spacing w:after="0"/>
              <w:rPr>
                <w:sz w:val="1"/>
                <w:szCs w:val="1"/>
                <w:color w:val="auto"/>
              </w:rPr>
            </w:pPr>
          </w:p>
        </w:tc>
      </w:tr>
      <w:tr>
        <w:trPr>
          <w:trHeight w:val="40"/>
        </w:trPr>
        <w:tc>
          <w:tcPr>
            <w:tcW w:w="4400" w:type="dxa"/>
            <w:vAlign w:val="bottom"/>
            <w:vMerge w:val="continue"/>
            <w:shd w:val="clear" w:color="auto" w:fill="D9D9D9"/>
          </w:tcPr>
          <w:p>
            <w:pPr>
              <w:spacing w:after="0"/>
              <w:rPr>
                <w:sz w:val="3"/>
                <w:szCs w:val="3"/>
                <w:color w:val="auto"/>
              </w:rPr>
            </w:pPr>
          </w:p>
        </w:tc>
        <w:tc>
          <w:tcPr>
            <w:tcW w:w="2700" w:type="dxa"/>
            <w:vAlign w:val="bottom"/>
            <w:tcBorders>
              <w:right w:val="single" w:sz="8" w:color="DBDBDB"/>
            </w:tcBorders>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186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9"/>
        </w:trPr>
        <w:tc>
          <w:tcPr>
            <w:tcW w:w="4400" w:type="dxa"/>
            <w:vAlign w:val="bottom"/>
            <w:shd w:val="clear" w:color="auto" w:fill="D9D9D9"/>
          </w:tcPr>
          <w:p>
            <w:pPr>
              <w:spacing w:after="0"/>
              <w:rPr>
                <w:sz w:val="24"/>
                <w:szCs w:val="24"/>
                <w:color w:val="auto"/>
              </w:rPr>
            </w:pPr>
          </w:p>
        </w:tc>
        <w:tc>
          <w:tcPr>
            <w:tcW w:w="2700" w:type="dxa"/>
            <w:vAlign w:val="bottom"/>
            <w:tcBorders>
              <w:right w:val="single" w:sz="8" w:color="DBDBDB"/>
            </w:tcBorders>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8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right="20"/>
        <w:spacing w:after="0" w:line="251" w:lineRule="auto"/>
        <w:rPr>
          <w:sz w:val="20"/>
          <w:szCs w:val="20"/>
          <w:color w:val="auto"/>
        </w:rPr>
      </w:pPr>
      <w:r>
        <w:rPr>
          <w:rFonts w:ascii="Arial" w:cs="Arial" w:eastAsia="Arial" w:hAnsi="Arial"/>
          <w:sz w:val="11"/>
          <w:szCs w:val="11"/>
          <w:b w:val="1"/>
          <w:bCs w:val="1"/>
          <w:color w:val="05445E"/>
        </w:rPr>
        <w:t xml:space="preserve">Ms. Alvord </w:t>
      </w:r>
      <w:r>
        <w:rPr>
          <w:rFonts w:ascii="Arial" w:cs="Arial" w:eastAsia="Arial" w:hAnsi="Arial"/>
          <w:sz w:val="11"/>
          <w:szCs w:val="11"/>
          <w:color w:val="000000"/>
        </w:rPr>
        <w:t>served as President, Central Division of Vulcan Materials Company, a producer of construction aggregates and aggregates-based construction materials and member of the S&amp;P</w:t>
      </w:r>
      <w:r>
        <w:rPr>
          <w:rFonts w:ascii="Arial" w:cs="Arial" w:eastAsia="Arial" w:hAnsi="Arial"/>
          <w:sz w:val="11"/>
          <w:szCs w:val="11"/>
          <w:b w:val="1"/>
          <w:bCs w:val="1"/>
          <w:color w:val="05445E"/>
        </w:rPr>
        <w:t xml:space="preserve"> </w:t>
      </w:r>
      <w:r>
        <w:rPr>
          <w:rFonts w:ascii="Arial" w:cs="Arial" w:eastAsia="Arial" w:hAnsi="Arial"/>
          <w:sz w:val="11"/>
          <w:szCs w:val="11"/>
          <w:color w:val="000000"/>
        </w:rPr>
        <w:t>500 Index, from 2019 until 2021. She joined Vulcan in 2016 and served as Vice President, Performance Management from 2016 to 2017 and President of the Southern &amp; Gulf Coast and Central Divisions from 2017 to 2021. Ms. Alvord held various executive management positions with GE Aviation, including General Manager of Engine Component Repair from 2012 to 2015 and General Manager of Turbine Airfoils Center of Excellence from 2010 to 2012; Government Relations Executive from 2009 to 2010; President of GE Aviation-Unison Industries from 2005 to 2009; and President of GE Aviation-Middle River Aircraft Systems from 2003 to 2005. Earlier in her career, Ms. Alvord held management positions in the GE Corporation Initiatives Group and McKinsey Company, Inc.</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Ms. Alvord holds a B.S. in Political Science and a B.S. and M.S. in Mechanical Engineering from the Massachusetts Institute of Technology, and an MBA from Harvard Business School.</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40" w:type="dxa"/>
            <w:vAlign w:val="bottom"/>
            <w:gridSpan w:val="2"/>
          </w:tcPr>
          <w:p>
            <w:pPr>
              <w:spacing w:after="0"/>
              <w:rPr>
                <w:sz w:val="20"/>
                <w:szCs w:val="20"/>
                <w:color w:val="auto"/>
              </w:rPr>
            </w:pPr>
            <w:r>
              <w:rPr>
                <w:rFonts w:ascii="Arial" w:cs="Arial" w:eastAsia="Arial" w:hAnsi="Arial"/>
                <w:sz w:val="11"/>
                <w:szCs w:val="11"/>
                <w:b w:val="1"/>
                <w:bCs w:val="1"/>
                <w:color w:val="05445E"/>
              </w:rPr>
              <w:t>Skills &amp; Qualifications:</w:t>
            </w:r>
          </w:p>
        </w:tc>
        <w:tc>
          <w:tcPr>
            <w:tcW w:w="5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8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76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560" w:type="dxa"/>
            <w:vAlign w:val="bottom"/>
          </w:tcPr>
          <w:p>
            <w:pPr>
              <w:ind w:left="480"/>
              <w:spacing w:after="0"/>
              <w:rPr>
                <w:sz w:val="20"/>
                <w:szCs w:val="20"/>
                <w:color w:val="auto"/>
              </w:rPr>
            </w:pPr>
            <w:r>
              <w:rPr>
                <w:rFonts w:ascii="Arial" w:cs="Arial" w:eastAsia="Arial" w:hAnsi="Arial"/>
                <w:sz w:val="11"/>
                <w:szCs w:val="11"/>
                <w:color w:val="auto"/>
              </w:rPr>
              <w:t>•</w:t>
            </w:r>
          </w:p>
        </w:tc>
        <w:tc>
          <w:tcPr>
            <w:tcW w:w="2140" w:type="dxa"/>
            <w:vAlign w:val="bottom"/>
          </w:tcPr>
          <w:p>
            <w:pPr>
              <w:ind w:left="40"/>
              <w:spacing w:after="0"/>
              <w:rPr>
                <w:sz w:val="20"/>
                <w:szCs w:val="20"/>
                <w:color w:val="auto"/>
              </w:rPr>
            </w:pPr>
            <w:r>
              <w:rPr>
                <w:rFonts w:ascii="Arial" w:cs="Arial" w:eastAsia="Arial" w:hAnsi="Arial"/>
                <w:sz w:val="11"/>
                <w:szCs w:val="11"/>
                <w:color w:val="auto"/>
              </w:rPr>
              <w:t>Mergers and Acquisitions</w:t>
            </w:r>
          </w:p>
        </w:tc>
        <w:tc>
          <w:tcPr>
            <w:tcW w:w="800" w:type="dxa"/>
            <w:vAlign w:val="bottom"/>
          </w:tcPr>
          <w:p>
            <w:pPr>
              <w:ind w:left="720"/>
              <w:spacing w:after="0"/>
              <w:rPr>
                <w:sz w:val="20"/>
                <w:szCs w:val="20"/>
                <w:color w:val="auto"/>
              </w:rPr>
            </w:pPr>
            <w:r>
              <w:rPr>
                <w:rFonts w:ascii="Arial" w:cs="Arial" w:eastAsia="Arial" w:hAnsi="Arial"/>
                <w:sz w:val="11"/>
                <w:szCs w:val="11"/>
                <w:color w:val="auto"/>
              </w:rPr>
              <w:t>•</w:t>
            </w:r>
          </w:p>
        </w:tc>
        <w:tc>
          <w:tcPr>
            <w:tcW w:w="3700" w:type="dxa"/>
            <w:vAlign w:val="bottom"/>
          </w:tcPr>
          <w:p>
            <w:pPr>
              <w:ind w:left="20"/>
              <w:spacing w:after="0"/>
              <w:rPr>
                <w:sz w:val="20"/>
                <w:szCs w:val="20"/>
                <w:color w:val="auto"/>
              </w:rPr>
            </w:pPr>
            <w:r>
              <w:rPr>
                <w:rFonts w:ascii="Arial" w:cs="Arial" w:eastAsia="Arial" w:hAnsi="Arial"/>
                <w:sz w:val="11"/>
                <w:szCs w:val="11"/>
                <w:color w:val="auto"/>
              </w:rPr>
              <w:t>Strategy Development and Execution</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760" w:type="dxa"/>
            <w:vAlign w:val="bottom"/>
          </w:tcPr>
          <w:p>
            <w:pPr>
              <w:ind w:left="40"/>
              <w:spacing w:after="0"/>
              <w:rPr>
                <w:sz w:val="20"/>
                <w:szCs w:val="20"/>
                <w:color w:val="auto"/>
              </w:rPr>
            </w:pPr>
            <w:r>
              <w:rPr>
                <w:rFonts w:ascii="Arial" w:cs="Arial" w:eastAsia="Arial" w:hAnsi="Arial"/>
                <w:sz w:val="11"/>
                <w:szCs w:val="11"/>
                <w:color w:val="auto"/>
              </w:rPr>
              <w:t>Manufacturing Operations</w:t>
            </w:r>
          </w:p>
        </w:tc>
        <w:tc>
          <w:tcPr>
            <w:tcW w:w="560" w:type="dxa"/>
            <w:vAlign w:val="bottom"/>
          </w:tcPr>
          <w:p>
            <w:pPr>
              <w:ind w:left="480"/>
              <w:spacing w:after="0"/>
              <w:rPr>
                <w:sz w:val="20"/>
                <w:szCs w:val="20"/>
                <w:color w:val="auto"/>
              </w:rPr>
            </w:pPr>
            <w:r>
              <w:rPr>
                <w:rFonts w:ascii="Arial" w:cs="Arial" w:eastAsia="Arial" w:hAnsi="Arial"/>
                <w:sz w:val="11"/>
                <w:szCs w:val="11"/>
                <w:color w:val="auto"/>
              </w:rPr>
              <w:t>•</w:t>
            </w:r>
          </w:p>
        </w:tc>
        <w:tc>
          <w:tcPr>
            <w:tcW w:w="2140" w:type="dxa"/>
            <w:vAlign w:val="bottom"/>
          </w:tcPr>
          <w:p>
            <w:pPr>
              <w:ind w:left="40"/>
              <w:spacing w:after="0"/>
              <w:rPr>
                <w:sz w:val="20"/>
                <w:szCs w:val="20"/>
                <w:color w:val="auto"/>
              </w:rPr>
            </w:pPr>
            <w:r>
              <w:rPr>
                <w:rFonts w:ascii="Arial" w:cs="Arial" w:eastAsia="Arial" w:hAnsi="Arial"/>
                <w:sz w:val="11"/>
                <w:szCs w:val="11"/>
                <w:color w:val="auto"/>
              </w:rPr>
              <w:t>Financial Management</w:t>
            </w:r>
          </w:p>
        </w:tc>
        <w:tc>
          <w:tcPr>
            <w:tcW w:w="800" w:type="dxa"/>
            <w:vAlign w:val="bottom"/>
          </w:tcPr>
          <w:p>
            <w:pPr>
              <w:ind w:left="720"/>
              <w:spacing w:after="0"/>
              <w:rPr>
                <w:sz w:val="20"/>
                <w:szCs w:val="20"/>
                <w:color w:val="auto"/>
              </w:rPr>
            </w:pPr>
            <w:r>
              <w:rPr>
                <w:rFonts w:ascii="Arial" w:cs="Arial" w:eastAsia="Arial" w:hAnsi="Arial"/>
                <w:sz w:val="11"/>
                <w:szCs w:val="11"/>
                <w:color w:val="auto"/>
              </w:rPr>
              <w:t>•</w:t>
            </w:r>
          </w:p>
        </w:tc>
        <w:tc>
          <w:tcPr>
            <w:tcW w:w="3700" w:type="dxa"/>
            <w:vAlign w:val="bottom"/>
          </w:tcPr>
          <w:p>
            <w:pPr>
              <w:ind w:left="20"/>
              <w:spacing w:after="0"/>
              <w:rPr>
                <w:sz w:val="20"/>
                <w:szCs w:val="20"/>
                <w:color w:val="auto"/>
              </w:rPr>
            </w:pPr>
            <w:r>
              <w:rPr>
                <w:rFonts w:ascii="Arial" w:cs="Arial" w:eastAsia="Arial" w:hAnsi="Arial"/>
                <w:sz w:val="11"/>
                <w:szCs w:val="11"/>
                <w:color w:val="auto"/>
              </w:rPr>
              <w:t>Leadership Development</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760" w:type="dxa"/>
            <w:vAlign w:val="bottom"/>
          </w:tcPr>
          <w:p>
            <w:pPr>
              <w:ind w:left="40"/>
              <w:spacing w:after="0"/>
              <w:rPr>
                <w:sz w:val="20"/>
                <w:szCs w:val="20"/>
                <w:color w:val="auto"/>
              </w:rPr>
            </w:pPr>
            <w:r>
              <w:rPr>
                <w:rFonts w:ascii="Arial" w:cs="Arial" w:eastAsia="Arial" w:hAnsi="Arial"/>
                <w:sz w:val="11"/>
                <w:szCs w:val="11"/>
                <w:color w:val="auto"/>
              </w:rPr>
              <w:t>Business Operations</w:t>
            </w:r>
          </w:p>
        </w:tc>
        <w:tc>
          <w:tcPr>
            <w:tcW w:w="560" w:type="dxa"/>
            <w:vAlign w:val="bottom"/>
          </w:tcPr>
          <w:p>
            <w:pPr>
              <w:ind w:left="480"/>
              <w:spacing w:after="0"/>
              <w:rPr>
                <w:sz w:val="20"/>
                <w:szCs w:val="20"/>
                <w:color w:val="auto"/>
              </w:rPr>
            </w:pPr>
            <w:r>
              <w:rPr>
                <w:rFonts w:ascii="Arial" w:cs="Arial" w:eastAsia="Arial" w:hAnsi="Arial"/>
                <w:sz w:val="11"/>
                <w:szCs w:val="11"/>
                <w:color w:val="auto"/>
              </w:rPr>
              <w:t>•</w:t>
            </w:r>
          </w:p>
        </w:tc>
        <w:tc>
          <w:tcPr>
            <w:tcW w:w="2140" w:type="dxa"/>
            <w:vAlign w:val="bottom"/>
          </w:tcPr>
          <w:p>
            <w:pPr>
              <w:ind w:left="40"/>
              <w:spacing w:after="0"/>
              <w:rPr>
                <w:sz w:val="20"/>
                <w:szCs w:val="20"/>
                <w:color w:val="auto"/>
              </w:rPr>
            </w:pPr>
            <w:r>
              <w:rPr>
                <w:rFonts w:ascii="Arial" w:cs="Arial" w:eastAsia="Arial" w:hAnsi="Arial"/>
                <w:sz w:val="11"/>
                <w:szCs w:val="11"/>
                <w:color w:val="auto"/>
              </w:rPr>
              <w:t>Enterprise Risk Management</w:t>
            </w:r>
          </w:p>
        </w:tc>
        <w:tc>
          <w:tcPr>
            <w:tcW w:w="80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158"/>
        </w:trPr>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1"/>
                <w:szCs w:val="11"/>
                <w:color w:val="auto"/>
              </w:rPr>
              <w:t>•</w:t>
            </w:r>
          </w:p>
        </w:tc>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Construction Industry</w:t>
            </w:r>
          </w:p>
        </w:tc>
        <w:tc>
          <w:tcPr>
            <w:tcW w:w="8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39370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140"/>
          </w:cols>
          <w:pgMar w:left="1380" w:top="850" w:right="1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Class II Directors – Terms Expiring in 2027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23495</wp:posOffset>
            </wp:positionV>
            <wp:extent cx="948690" cy="1188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8690" cy="118872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5040" w:type="dxa"/>
            <w:vAlign w:val="bottom"/>
            <w:shd w:val="clear" w:color="auto" w:fill="D9D9D9"/>
          </w:tcPr>
          <w:p>
            <w:pPr>
              <w:ind w:left="2220"/>
              <w:spacing w:after="0"/>
              <w:rPr>
                <w:sz w:val="20"/>
                <w:szCs w:val="20"/>
                <w:color w:val="auto"/>
              </w:rPr>
            </w:pPr>
            <w:r>
              <w:rPr>
                <w:rFonts w:ascii="Arial" w:cs="Arial" w:eastAsia="Arial" w:hAnsi="Arial"/>
                <w:sz w:val="17"/>
                <w:szCs w:val="17"/>
                <w:b w:val="1"/>
                <w:bCs w:val="1"/>
                <w:color w:val="05445E"/>
              </w:rPr>
              <w:t>Herbert K. Parker</w:t>
            </w:r>
          </w:p>
        </w:tc>
        <w:tc>
          <w:tcPr>
            <w:tcW w:w="1760" w:type="dxa"/>
            <w:vAlign w:val="bottom"/>
            <w:gridSpan w:val="2"/>
            <w:shd w:val="clear" w:color="auto" w:fill="D9D9D9"/>
          </w:tcPr>
          <w:p>
            <w:pPr>
              <w:spacing w:after="0"/>
              <w:rPr>
                <w:sz w:val="20"/>
                <w:szCs w:val="20"/>
                <w:color w:val="auto"/>
              </w:rPr>
            </w:pPr>
            <w:r>
              <w:rPr>
                <w:rFonts w:ascii="Arial" w:cs="Arial" w:eastAsia="Arial" w:hAnsi="Arial"/>
                <w:sz w:val="11"/>
                <w:szCs w:val="11"/>
                <w:b w:val="1"/>
                <w:bCs w:val="1"/>
                <w:color w:val="05445E"/>
              </w:rPr>
              <w:t>Apogee Committees:</w:t>
            </w:r>
          </w:p>
        </w:tc>
        <w:tc>
          <w:tcPr>
            <w:tcW w:w="2340" w:type="dxa"/>
            <w:vAlign w:val="bottom"/>
            <w:gridSpan w:val="2"/>
            <w:shd w:val="clear" w:color="auto" w:fill="D9D9D9"/>
          </w:tcPr>
          <w:p>
            <w:pPr>
              <w:ind w:left="300"/>
              <w:spacing w:after="0"/>
              <w:rPr>
                <w:sz w:val="20"/>
                <w:szCs w:val="20"/>
                <w:color w:val="auto"/>
              </w:rPr>
            </w:pPr>
            <w:r>
              <w:rPr>
                <w:rFonts w:ascii="Arial" w:cs="Arial" w:eastAsia="Arial" w:hAnsi="Arial"/>
                <w:sz w:val="11"/>
                <w:szCs w:val="11"/>
                <w:b w:val="1"/>
                <w:bCs w:val="1"/>
                <w:color w:val="05445E"/>
              </w:rPr>
              <w:t>Public Directorships:</w:t>
            </w:r>
          </w:p>
        </w:tc>
        <w:tc>
          <w:tcPr>
            <w:tcW w:w="0" w:type="dxa"/>
            <w:vAlign w:val="bottom"/>
          </w:tcPr>
          <w:p>
            <w:pPr>
              <w:spacing w:after="0"/>
              <w:rPr>
                <w:sz w:val="1"/>
                <w:szCs w:val="1"/>
                <w:color w:val="auto"/>
              </w:rPr>
            </w:pPr>
          </w:p>
        </w:tc>
      </w:tr>
      <w:tr>
        <w:trPr>
          <w:trHeight w:val="127"/>
        </w:trPr>
        <w:tc>
          <w:tcPr>
            <w:tcW w:w="5040" w:type="dxa"/>
            <w:vAlign w:val="bottom"/>
            <w:vMerge w:val="restart"/>
            <w:shd w:val="clear" w:color="auto" w:fill="D9D9D9"/>
          </w:tcPr>
          <w:p>
            <w:pPr>
              <w:ind w:left="222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68</w:t>
            </w:r>
          </w:p>
        </w:tc>
        <w:tc>
          <w:tcPr>
            <w:tcW w:w="1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w:t>
            </w:r>
          </w:p>
        </w:tc>
        <w:tc>
          <w:tcPr>
            <w:tcW w:w="1580" w:type="dxa"/>
            <w:vAlign w:val="bottom"/>
            <w:shd w:val="clear" w:color="auto" w:fill="D9D9D9"/>
          </w:tcPr>
          <w:p>
            <w:pPr>
              <w:ind w:left="40"/>
              <w:spacing w:after="0"/>
              <w:rPr>
                <w:sz w:val="20"/>
                <w:szCs w:val="20"/>
                <w:color w:val="auto"/>
              </w:rPr>
            </w:pPr>
            <w:r>
              <w:rPr>
                <w:rFonts w:ascii="Arial" w:cs="Arial" w:eastAsia="Arial" w:hAnsi="Arial"/>
                <w:sz w:val="11"/>
                <w:szCs w:val="11"/>
                <w:color w:val="auto"/>
              </w:rPr>
              <w:t>Nominating and Corporate</w:t>
            </w:r>
          </w:p>
        </w:tc>
        <w:tc>
          <w:tcPr>
            <w:tcW w:w="460" w:type="dxa"/>
            <w:vAlign w:val="bottom"/>
            <w:shd w:val="clear" w:color="auto" w:fill="D9D9D9"/>
          </w:tcPr>
          <w:p>
            <w:pPr>
              <w:ind w:left="400"/>
              <w:spacing w:after="0"/>
              <w:rPr>
                <w:sz w:val="20"/>
                <w:szCs w:val="20"/>
                <w:color w:val="auto"/>
              </w:rPr>
            </w:pPr>
            <w:r>
              <w:rPr>
                <w:rFonts w:ascii="Arial" w:cs="Arial" w:eastAsia="Arial" w:hAnsi="Arial"/>
                <w:sz w:val="11"/>
                <w:szCs w:val="11"/>
                <w:color w:val="auto"/>
              </w:rPr>
              <w:t>•</w:t>
            </w:r>
          </w:p>
        </w:tc>
        <w:tc>
          <w:tcPr>
            <w:tcW w:w="1880" w:type="dxa"/>
            <w:vAlign w:val="bottom"/>
            <w:shd w:val="clear" w:color="auto" w:fill="D9D9D9"/>
          </w:tcPr>
          <w:p>
            <w:pPr>
              <w:ind w:left="40"/>
              <w:spacing w:after="0"/>
              <w:rPr>
                <w:sz w:val="20"/>
                <w:szCs w:val="20"/>
                <w:color w:val="auto"/>
              </w:rPr>
            </w:pPr>
            <w:r>
              <w:rPr>
                <w:rFonts w:ascii="Arial" w:cs="Arial" w:eastAsia="Arial" w:hAnsi="Arial"/>
                <w:sz w:val="11"/>
                <w:szCs w:val="11"/>
                <w:color w:val="auto"/>
              </w:rPr>
              <w:t>TriMas Corporation (2015 – Present)</w:t>
            </w:r>
          </w:p>
        </w:tc>
        <w:tc>
          <w:tcPr>
            <w:tcW w:w="0" w:type="dxa"/>
            <w:vAlign w:val="bottom"/>
          </w:tcPr>
          <w:p>
            <w:pPr>
              <w:spacing w:after="0"/>
              <w:rPr>
                <w:sz w:val="1"/>
                <w:szCs w:val="1"/>
                <w:color w:val="auto"/>
              </w:rPr>
            </w:pPr>
          </w:p>
        </w:tc>
      </w:tr>
      <w:tr>
        <w:trPr>
          <w:trHeight w:val="153"/>
        </w:trPr>
        <w:tc>
          <w:tcPr>
            <w:tcW w:w="5040" w:type="dxa"/>
            <w:vAlign w:val="bottom"/>
            <w:vMerge w:val="continue"/>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1580" w:type="dxa"/>
            <w:vAlign w:val="bottom"/>
            <w:shd w:val="clear" w:color="auto" w:fill="D9D9D9"/>
          </w:tcPr>
          <w:p>
            <w:pPr>
              <w:ind w:left="40"/>
              <w:spacing w:after="0"/>
              <w:rPr>
                <w:sz w:val="20"/>
                <w:szCs w:val="20"/>
                <w:color w:val="auto"/>
              </w:rPr>
            </w:pPr>
            <w:r>
              <w:rPr>
                <w:rFonts w:ascii="Arial" w:cs="Arial" w:eastAsia="Arial" w:hAnsi="Arial"/>
                <w:sz w:val="11"/>
                <w:szCs w:val="11"/>
                <w:color w:val="auto"/>
              </w:rPr>
              <w:t>Governance, Chair</w:t>
            </w:r>
          </w:p>
        </w:tc>
        <w:tc>
          <w:tcPr>
            <w:tcW w:w="460" w:type="dxa"/>
            <w:vAlign w:val="bottom"/>
            <w:shd w:val="clear" w:color="auto" w:fill="D9D9D9"/>
          </w:tcPr>
          <w:p>
            <w:pPr>
              <w:ind w:left="400"/>
              <w:spacing w:after="0"/>
              <w:rPr>
                <w:sz w:val="20"/>
                <w:szCs w:val="20"/>
                <w:color w:val="auto"/>
              </w:rPr>
            </w:pPr>
            <w:r>
              <w:rPr>
                <w:rFonts w:ascii="Arial" w:cs="Arial" w:eastAsia="Arial" w:hAnsi="Arial"/>
                <w:sz w:val="11"/>
                <w:szCs w:val="11"/>
                <w:color w:val="auto"/>
              </w:rPr>
              <w:t>•</w:t>
            </w:r>
          </w:p>
        </w:tc>
        <w:tc>
          <w:tcPr>
            <w:tcW w:w="1880" w:type="dxa"/>
            <w:vAlign w:val="bottom"/>
            <w:shd w:val="clear" w:color="auto" w:fill="D9D9D9"/>
          </w:tcPr>
          <w:p>
            <w:pPr>
              <w:ind w:left="40"/>
              <w:spacing w:after="0"/>
              <w:rPr>
                <w:sz w:val="20"/>
                <w:szCs w:val="20"/>
                <w:color w:val="auto"/>
              </w:rPr>
            </w:pPr>
            <w:r>
              <w:rPr>
                <w:rFonts w:ascii="Arial" w:cs="Arial" w:eastAsia="Arial" w:hAnsi="Arial"/>
                <w:sz w:val="11"/>
                <w:szCs w:val="11"/>
                <w:color w:val="auto"/>
              </w:rPr>
              <w:t>nVent Electric PLC</w:t>
            </w:r>
          </w:p>
        </w:tc>
        <w:tc>
          <w:tcPr>
            <w:tcW w:w="0" w:type="dxa"/>
            <w:vAlign w:val="bottom"/>
          </w:tcPr>
          <w:p>
            <w:pPr>
              <w:spacing w:after="0"/>
              <w:rPr>
                <w:sz w:val="1"/>
                <w:szCs w:val="1"/>
                <w:color w:val="auto"/>
              </w:rPr>
            </w:pPr>
          </w:p>
        </w:tc>
      </w:tr>
      <w:tr>
        <w:trPr>
          <w:trHeight w:val="153"/>
        </w:trPr>
        <w:tc>
          <w:tcPr>
            <w:tcW w:w="5040" w:type="dxa"/>
            <w:vAlign w:val="bottom"/>
            <w:shd w:val="clear" w:color="auto" w:fill="D9D9D9"/>
          </w:tcPr>
          <w:p>
            <w:pPr>
              <w:ind w:left="22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2018</w:t>
            </w:r>
          </w:p>
        </w:tc>
        <w:tc>
          <w:tcPr>
            <w:tcW w:w="1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w:t>
            </w:r>
          </w:p>
        </w:tc>
        <w:tc>
          <w:tcPr>
            <w:tcW w:w="1580" w:type="dxa"/>
            <w:vAlign w:val="bottom"/>
            <w:shd w:val="clear" w:color="auto" w:fill="D9D9D9"/>
          </w:tcPr>
          <w:p>
            <w:pPr>
              <w:ind w:left="40"/>
              <w:spacing w:after="0"/>
              <w:rPr>
                <w:sz w:val="20"/>
                <w:szCs w:val="20"/>
                <w:color w:val="auto"/>
              </w:rPr>
            </w:pPr>
            <w:r>
              <w:rPr>
                <w:rFonts w:ascii="Arial" w:cs="Arial" w:eastAsia="Arial" w:hAnsi="Arial"/>
                <w:sz w:val="11"/>
                <w:szCs w:val="11"/>
                <w:color w:val="auto"/>
              </w:rPr>
              <w:t>Compensation</w:t>
            </w:r>
          </w:p>
        </w:tc>
        <w:tc>
          <w:tcPr>
            <w:tcW w:w="460" w:type="dxa"/>
            <w:vAlign w:val="bottom"/>
            <w:shd w:val="clear" w:color="auto" w:fill="D9D9D9"/>
          </w:tcPr>
          <w:p>
            <w:pPr>
              <w:spacing w:after="0"/>
              <w:rPr>
                <w:sz w:val="13"/>
                <w:szCs w:val="13"/>
                <w:color w:val="auto"/>
              </w:rPr>
            </w:pPr>
          </w:p>
        </w:tc>
        <w:tc>
          <w:tcPr>
            <w:tcW w:w="1880" w:type="dxa"/>
            <w:vAlign w:val="bottom"/>
            <w:shd w:val="clear" w:color="auto" w:fill="D9D9D9"/>
          </w:tcPr>
          <w:p>
            <w:pPr>
              <w:ind w:left="40"/>
              <w:spacing w:after="0"/>
              <w:rPr>
                <w:sz w:val="20"/>
                <w:szCs w:val="20"/>
                <w:color w:val="auto"/>
              </w:rPr>
            </w:pPr>
            <w:r>
              <w:rPr>
                <w:rFonts w:ascii="Arial" w:cs="Arial" w:eastAsia="Arial" w:hAnsi="Arial"/>
                <w:sz w:val="11"/>
                <w:szCs w:val="11"/>
                <w:color w:val="auto"/>
              </w:rPr>
              <w:t>(2018 – Present)</w:t>
            </w:r>
          </w:p>
        </w:tc>
        <w:tc>
          <w:tcPr>
            <w:tcW w:w="0" w:type="dxa"/>
            <w:vAlign w:val="bottom"/>
          </w:tcPr>
          <w:p>
            <w:pPr>
              <w:spacing w:after="0"/>
              <w:rPr>
                <w:sz w:val="1"/>
                <w:szCs w:val="1"/>
                <w:color w:val="auto"/>
              </w:rPr>
            </w:pPr>
          </w:p>
        </w:tc>
      </w:tr>
      <w:tr>
        <w:trPr>
          <w:trHeight w:val="142"/>
        </w:trPr>
        <w:tc>
          <w:tcPr>
            <w:tcW w:w="5040" w:type="dxa"/>
            <w:vAlign w:val="bottom"/>
            <w:vMerge w:val="restart"/>
            <w:shd w:val="clear" w:color="auto" w:fill="D9D9D9"/>
          </w:tcPr>
          <w:p>
            <w:pPr>
              <w:ind w:left="2220"/>
              <w:spacing w:after="0"/>
              <w:rPr>
                <w:sz w:val="20"/>
                <w:szCs w:val="20"/>
                <w:color w:val="auto"/>
              </w:rPr>
            </w:pPr>
            <w:r>
              <w:rPr>
                <w:rFonts w:ascii="Arial" w:cs="Arial" w:eastAsia="Arial" w:hAnsi="Arial"/>
                <w:sz w:val="11"/>
                <w:szCs w:val="11"/>
                <w:b w:val="1"/>
                <w:bCs w:val="1"/>
                <w:color w:val="auto"/>
              </w:rPr>
              <w:t>Independent</w:t>
            </w:r>
          </w:p>
        </w:tc>
        <w:tc>
          <w:tcPr>
            <w:tcW w:w="180" w:type="dxa"/>
            <w:vAlign w:val="bottom"/>
            <w:shd w:val="clear" w:color="auto" w:fill="D9D9D9"/>
          </w:tcPr>
          <w:p>
            <w:pPr>
              <w:spacing w:after="0"/>
              <w:rPr>
                <w:sz w:val="12"/>
                <w:szCs w:val="12"/>
                <w:color w:val="auto"/>
              </w:rPr>
            </w:pPr>
          </w:p>
        </w:tc>
        <w:tc>
          <w:tcPr>
            <w:tcW w:w="1580" w:type="dxa"/>
            <w:vAlign w:val="bottom"/>
            <w:shd w:val="clear" w:color="auto" w:fill="D9D9D9"/>
          </w:tcPr>
          <w:p>
            <w:pPr>
              <w:spacing w:after="0"/>
              <w:rPr>
                <w:sz w:val="12"/>
                <w:szCs w:val="12"/>
                <w:color w:val="auto"/>
              </w:rPr>
            </w:pPr>
          </w:p>
        </w:tc>
        <w:tc>
          <w:tcPr>
            <w:tcW w:w="460" w:type="dxa"/>
            <w:vAlign w:val="bottom"/>
            <w:shd w:val="clear" w:color="auto" w:fill="D9D9D9"/>
          </w:tcPr>
          <w:p>
            <w:pPr>
              <w:ind w:left="400"/>
              <w:spacing w:after="0"/>
              <w:rPr>
                <w:sz w:val="20"/>
                <w:szCs w:val="20"/>
                <w:color w:val="auto"/>
              </w:rPr>
            </w:pPr>
            <w:r>
              <w:rPr>
                <w:rFonts w:ascii="Arial" w:cs="Arial" w:eastAsia="Arial" w:hAnsi="Arial"/>
                <w:sz w:val="11"/>
                <w:szCs w:val="11"/>
                <w:color w:val="auto"/>
              </w:rPr>
              <w:t>•</w:t>
            </w:r>
          </w:p>
        </w:tc>
        <w:tc>
          <w:tcPr>
            <w:tcW w:w="1880" w:type="dxa"/>
            <w:vAlign w:val="bottom"/>
            <w:shd w:val="clear" w:color="auto" w:fill="D9D9D9"/>
          </w:tcPr>
          <w:p>
            <w:pPr>
              <w:ind w:left="40"/>
              <w:spacing w:after="0"/>
              <w:rPr>
                <w:sz w:val="20"/>
                <w:szCs w:val="20"/>
                <w:color w:val="auto"/>
              </w:rPr>
            </w:pPr>
            <w:r>
              <w:rPr>
                <w:rFonts w:ascii="Arial" w:cs="Arial" w:eastAsia="Arial" w:hAnsi="Arial"/>
                <w:sz w:val="11"/>
                <w:szCs w:val="11"/>
                <w:color w:val="auto"/>
              </w:rPr>
              <w:t>Dauch Corporation (f/k/a American</w:t>
            </w:r>
          </w:p>
        </w:tc>
        <w:tc>
          <w:tcPr>
            <w:tcW w:w="0" w:type="dxa"/>
            <w:vAlign w:val="bottom"/>
          </w:tcPr>
          <w:p>
            <w:pPr>
              <w:spacing w:after="0"/>
              <w:rPr>
                <w:sz w:val="1"/>
                <w:szCs w:val="1"/>
                <w:color w:val="auto"/>
              </w:rPr>
            </w:pPr>
          </w:p>
        </w:tc>
      </w:tr>
      <w:tr>
        <w:trPr>
          <w:trHeight w:val="42"/>
        </w:trPr>
        <w:tc>
          <w:tcPr>
            <w:tcW w:w="5040" w:type="dxa"/>
            <w:vAlign w:val="bottom"/>
            <w:vMerge w:val="continue"/>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1580" w:type="dxa"/>
            <w:vAlign w:val="bottom"/>
            <w:shd w:val="clear" w:color="auto" w:fill="D9D9D9"/>
          </w:tcPr>
          <w:p>
            <w:pPr>
              <w:spacing w:after="0"/>
              <w:rPr>
                <w:sz w:val="3"/>
                <w:szCs w:val="3"/>
                <w:color w:val="auto"/>
              </w:rPr>
            </w:pPr>
          </w:p>
        </w:tc>
        <w:tc>
          <w:tcPr>
            <w:tcW w:w="460" w:type="dxa"/>
            <w:vAlign w:val="bottom"/>
            <w:shd w:val="clear" w:color="auto" w:fill="D9D9D9"/>
          </w:tcPr>
          <w:p>
            <w:pPr>
              <w:spacing w:after="0"/>
              <w:rPr>
                <w:sz w:val="3"/>
                <w:szCs w:val="3"/>
                <w:color w:val="auto"/>
              </w:rPr>
            </w:pPr>
          </w:p>
        </w:tc>
        <w:tc>
          <w:tcPr>
            <w:tcW w:w="1880" w:type="dxa"/>
            <w:vAlign w:val="bottom"/>
            <w:vMerge w:val="restart"/>
            <w:shd w:val="clear" w:color="auto" w:fill="D9D9D9"/>
          </w:tcPr>
          <w:p>
            <w:pPr>
              <w:ind w:left="40"/>
              <w:spacing w:after="0" w:line="120" w:lineRule="exact"/>
              <w:rPr>
                <w:sz w:val="20"/>
                <w:szCs w:val="20"/>
                <w:color w:val="auto"/>
              </w:rPr>
            </w:pPr>
            <w:r>
              <w:rPr>
                <w:rFonts w:ascii="Arial" w:cs="Arial" w:eastAsia="Arial" w:hAnsi="Arial"/>
                <w:sz w:val="11"/>
                <w:szCs w:val="11"/>
                <w:color w:val="auto"/>
              </w:rPr>
              <w:t>Axle &amp; Manufacturing Holdings, Inc.)</w:t>
            </w:r>
          </w:p>
        </w:tc>
        <w:tc>
          <w:tcPr>
            <w:tcW w:w="0" w:type="dxa"/>
            <w:vAlign w:val="bottom"/>
          </w:tcPr>
          <w:p>
            <w:pPr>
              <w:spacing w:after="0"/>
              <w:rPr>
                <w:sz w:val="1"/>
                <w:szCs w:val="1"/>
                <w:color w:val="auto"/>
              </w:rPr>
            </w:pPr>
          </w:p>
        </w:tc>
      </w:tr>
      <w:tr>
        <w:trPr>
          <w:trHeight w:val="77"/>
        </w:trPr>
        <w:tc>
          <w:tcPr>
            <w:tcW w:w="5040" w:type="dxa"/>
            <w:vAlign w:val="bottom"/>
            <w:shd w:val="clear" w:color="auto" w:fill="D9D9D9"/>
          </w:tcPr>
          <w:p>
            <w:pPr>
              <w:spacing w:after="0"/>
              <w:rPr>
                <w:sz w:val="6"/>
                <w:szCs w:val="6"/>
                <w:color w:val="auto"/>
              </w:rPr>
            </w:pPr>
          </w:p>
        </w:tc>
        <w:tc>
          <w:tcPr>
            <w:tcW w:w="180" w:type="dxa"/>
            <w:vAlign w:val="bottom"/>
            <w:shd w:val="clear" w:color="auto" w:fill="D9D9D9"/>
          </w:tcPr>
          <w:p>
            <w:pPr>
              <w:spacing w:after="0"/>
              <w:rPr>
                <w:sz w:val="6"/>
                <w:szCs w:val="6"/>
                <w:color w:val="auto"/>
              </w:rPr>
            </w:pPr>
          </w:p>
        </w:tc>
        <w:tc>
          <w:tcPr>
            <w:tcW w:w="1580" w:type="dxa"/>
            <w:vAlign w:val="bottom"/>
            <w:shd w:val="clear" w:color="auto" w:fill="D9D9D9"/>
          </w:tcPr>
          <w:p>
            <w:pPr>
              <w:spacing w:after="0"/>
              <w:rPr>
                <w:sz w:val="6"/>
                <w:szCs w:val="6"/>
                <w:color w:val="auto"/>
              </w:rPr>
            </w:pPr>
          </w:p>
        </w:tc>
        <w:tc>
          <w:tcPr>
            <w:tcW w:w="460" w:type="dxa"/>
            <w:vAlign w:val="bottom"/>
            <w:shd w:val="clear" w:color="auto" w:fill="D9D9D9"/>
          </w:tcPr>
          <w:p>
            <w:pPr>
              <w:spacing w:after="0"/>
              <w:rPr>
                <w:sz w:val="6"/>
                <w:szCs w:val="6"/>
                <w:color w:val="auto"/>
              </w:rPr>
            </w:pPr>
          </w:p>
        </w:tc>
        <w:tc>
          <w:tcPr>
            <w:tcW w:w="188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04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58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1880" w:type="dxa"/>
            <w:vAlign w:val="bottom"/>
            <w:shd w:val="clear" w:color="auto" w:fill="D9D9D9"/>
          </w:tcPr>
          <w:p>
            <w:pPr>
              <w:ind w:left="40"/>
              <w:spacing w:after="0"/>
              <w:rPr>
                <w:sz w:val="20"/>
                <w:szCs w:val="20"/>
                <w:color w:val="auto"/>
              </w:rPr>
            </w:pPr>
            <w:r>
              <w:rPr>
                <w:rFonts w:ascii="Arial" w:cs="Arial" w:eastAsia="Arial" w:hAnsi="Arial"/>
                <w:sz w:val="11"/>
                <w:szCs w:val="11"/>
                <w:color w:val="auto"/>
              </w:rPr>
              <w:t>(2018 – Present)</w:t>
            </w:r>
          </w:p>
        </w:tc>
        <w:tc>
          <w:tcPr>
            <w:tcW w:w="0" w:type="dxa"/>
            <w:vAlign w:val="bottom"/>
          </w:tcPr>
          <w:p>
            <w:pPr>
              <w:spacing w:after="0"/>
              <w:rPr>
                <w:sz w:val="1"/>
                <w:szCs w:val="1"/>
                <w:color w:val="auto"/>
              </w:rPr>
            </w:pPr>
          </w:p>
        </w:tc>
      </w:tr>
      <w:tr>
        <w:trPr>
          <w:trHeight w:val="776"/>
        </w:trPr>
        <w:tc>
          <w:tcPr>
            <w:tcW w:w="504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5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18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right="20"/>
        <w:spacing w:after="0" w:line="254" w:lineRule="auto"/>
        <w:rPr>
          <w:sz w:val="20"/>
          <w:szCs w:val="20"/>
          <w:color w:val="auto"/>
        </w:rPr>
      </w:pPr>
      <w:r>
        <w:rPr>
          <w:rFonts w:ascii="Arial" w:cs="Arial" w:eastAsia="Arial" w:hAnsi="Arial"/>
          <w:sz w:val="11"/>
          <w:szCs w:val="11"/>
          <w:b w:val="1"/>
          <w:bCs w:val="1"/>
          <w:color w:val="05445E"/>
        </w:rPr>
        <w:t xml:space="preserve">Mr. Parker </w:t>
      </w:r>
      <w:r>
        <w:rPr>
          <w:rFonts w:ascii="Arial" w:cs="Arial" w:eastAsia="Arial" w:hAnsi="Arial"/>
          <w:sz w:val="11"/>
          <w:szCs w:val="11"/>
          <w:color w:val="000000"/>
        </w:rPr>
        <w:t>is the retired Executive Vice President - Operational Excellence of Harman International Industries, Inc., a worldwide leader in the development, manufacture, and marketing of</w:t>
      </w:r>
      <w:r>
        <w:rPr>
          <w:rFonts w:ascii="Arial" w:cs="Arial" w:eastAsia="Arial" w:hAnsi="Arial"/>
          <w:sz w:val="11"/>
          <w:szCs w:val="11"/>
          <w:b w:val="1"/>
          <w:bCs w:val="1"/>
          <w:color w:val="05445E"/>
        </w:rPr>
        <w:t xml:space="preserve"> </w:t>
      </w:r>
      <w:r>
        <w:rPr>
          <w:rFonts w:ascii="Arial" w:cs="Arial" w:eastAsia="Arial" w:hAnsi="Arial"/>
          <w:sz w:val="11"/>
          <w:szCs w:val="11"/>
          <w:color w:val="000000"/>
        </w:rPr>
        <w:t>high quality, high-fidelity audio products, lighting solutions, and electronic systems. He joined Harman International Industries, Inc., in June 2008 as Executive Vice President and Chief Financial Officer and served in that capacity to 2015. He served as Executive Vice President - Operational Excellence from 2015 to 2017. Prior to joining Harman International Industries, Inc., Mr. Parker served in various senior financial positions with ABB Ltd. (known as ABB Group), a global power and technology company, from 1980 to 2006, including as the Chief Financial Officer of the Global Automation Division from 2002 to 2005 and the Americas Region from 2006 to 2008.</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Mr. Parker holds a B.S. in Accounting from Lee University.</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05445E"/>
        </w:rPr>
        <w:t>Skills &amp; Qualifications: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94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380" w:type="dxa"/>
            <w:vAlign w:val="bottom"/>
          </w:tcPr>
          <w:p>
            <w:pPr>
              <w:ind w:left="300"/>
              <w:spacing w:after="0"/>
              <w:rPr>
                <w:sz w:val="20"/>
                <w:szCs w:val="20"/>
                <w:color w:val="auto"/>
              </w:rPr>
            </w:pPr>
            <w:r>
              <w:rPr>
                <w:rFonts w:ascii="Arial" w:cs="Arial" w:eastAsia="Arial" w:hAnsi="Arial"/>
                <w:sz w:val="11"/>
                <w:szCs w:val="11"/>
                <w:color w:val="auto"/>
              </w:rPr>
              <w:t>•</w:t>
            </w:r>
          </w:p>
        </w:tc>
        <w:tc>
          <w:tcPr>
            <w:tcW w:w="2620" w:type="dxa"/>
            <w:vAlign w:val="bottom"/>
          </w:tcPr>
          <w:p>
            <w:pPr>
              <w:ind w:left="40"/>
              <w:spacing w:after="0"/>
              <w:rPr>
                <w:sz w:val="20"/>
                <w:szCs w:val="20"/>
                <w:color w:val="auto"/>
              </w:rPr>
            </w:pPr>
            <w:r>
              <w:rPr>
                <w:rFonts w:ascii="Arial" w:cs="Arial" w:eastAsia="Arial" w:hAnsi="Arial"/>
                <w:sz w:val="11"/>
                <w:szCs w:val="11"/>
                <w:color w:val="auto"/>
              </w:rPr>
              <w:t>Property and Asset Acquisition and Management</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3700" w:type="dxa"/>
            <w:vAlign w:val="bottom"/>
          </w:tcPr>
          <w:p>
            <w:pPr>
              <w:ind w:left="20"/>
              <w:spacing w:after="0"/>
              <w:rPr>
                <w:sz w:val="20"/>
                <w:szCs w:val="20"/>
                <w:color w:val="auto"/>
              </w:rPr>
            </w:pPr>
            <w:r>
              <w:rPr>
                <w:rFonts w:ascii="Arial" w:cs="Arial" w:eastAsia="Arial" w:hAnsi="Arial"/>
                <w:sz w:val="11"/>
                <w:szCs w:val="11"/>
                <w:color w:val="auto"/>
              </w:rPr>
              <w:t>Sarbanes-Oxley Compliance</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940" w:type="dxa"/>
            <w:vAlign w:val="bottom"/>
          </w:tcPr>
          <w:p>
            <w:pPr>
              <w:ind w:left="40"/>
              <w:spacing w:after="0"/>
              <w:rPr>
                <w:sz w:val="20"/>
                <w:szCs w:val="20"/>
                <w:color w:val="auto"/>
              </w:rPr>
            </w:pPr>
            <w:r>
              <w:rPr>
                <w:rFonts w:ascii="Arial" w:cs="Arial" w:eastAsia="Arial" w:hAnsi="Arial"/>
                <w:sz w:val="11"/>
                <w:szCs w:val="11"/>
                <w:color w:val="auto"/>
              </w:rPr>
              <w:t>Accounting and Audit</w:t>
            </w:r>
          </w:p>
        </w:tc>
        <w:tc>
          <w:tcPr>
            <w:tcW w:w="380" w:type="dxa"/>
            <w:vAlign w:val="bottom"/>
          </w:tcPr>
          <w:p>
            <w:pPr>
              <w:ind w:left="300"/>
              <w:spacing w:after="0"/>
              <w:rPr>
                <w:sz w:val="20"/>
                <w:szCs w:val="20"/>
                <w:color w:val="auto"/>
              </w:rPr>
            </w:pPr>
            <w:r>
              <w:rPr>
                <w:rFonts w:ascii="Arial" w:cs="Arial" w:eastAsia="Arial" w:hAnsi="Arial"/>
                <w:sz w:val="11"/>
                <w:szCs w:val="11"/>
                <w:color w:val="auto"/>
              </w:rPr>
              <w:t>•</w:t>
            </w:r>
          </w:p>
        </w:tc>
        <w:tc>
          <w:tcPr>
            <w:tcW w:w="2620" w:type="dxa"/>
            <w:vAlign w:val="bottom"/>
          </w:tcPr>
          <w:p>
            <w:pPr>
              <w:ind w:left="40"/>
              <w:spacing w:after="0"/>
              <w:rPr>
                <w:sz w:val="20"/>
                <w:szCs w:val="20"/>
                <w:color w:val="auto"/>
              </w:rPr>
            </w:pPr>
            <w:r>
              <w:rPr>
                <w:rFonts w:ascii="Arial" w:cs="Arial" w:eastAsia="Arial" w:hAnsi="Arial"/>
                <w:sz w:val="11"/>
                <w:szCs w:val="11"/>
                <w:color w:val="auto"/>
              </w:rPr>
              <w:t>Operations</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3700" w:type="dxa"/>
            <w:vAlign w:val="bottom"/>
          </w:tcPr>
          <w:p>
            <w:pPr>
              <w:ind w:left="20"/>
              <w:spacing w:after="0"/>
              <w:rPr>
                <w:sz w:val="20"/>
                <w:szCs w:val="20"/>
                <w:color w:val="auto"/>
              </w:rPr>
            </w:pPr>
            <w:r>
              <w:rPr>
                <w:rFonts w:ascii="Arial" w:cs="Arial" w:eastAsia="Arial" w:hAnsi="Arial"/>
                <w:sz w:val="11"/>
                <w:szCs w:val="11"/>
                <w:color w:val="auto"/>
              </w:rPr>
              <w:t>International Business</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940" w:type="dxa"/>
            <w:vAlign w:val="bottom"/>
          </w:tcPr>
          <w:p>
            <w:pPr>
              <w:ind w:left="40"/>
              <w:spacing w:after="0"/>
              <w:rPr>
                <w:sz w:val="20"/>
                <w:szCs w:val="20"/>
                <w:color w:val="auto"/>
              </w:rPr>
            </w:pPr>
            <w:r>
              <w:rPr>
                <w:rFonts w:ascii="Arial" w:cs="Arial" w:eastAsia="Arial" w:hAnsi="Arial"/>
                <w:sz w:val="11"/>
                <w:szCs w:val="11"/>
                <w:color w:val="auto"/>
              </w:rPr>
              <w:t>Financial and Asset Management</w:t>
            </w:r>
          </w:p>
        </w:tc>
        <w:tc>
          <w:tcPr>
            <w:tcW w:w="380" w:type="dxa"/>
            <w:vAlign w:val="bottom"/>
          </w:tcPr>
          <w:p>
            <w:pPr>
              <w:ind w:left="300"/>
              <w:spacing w:after="0"/>
              <w:rPr>
                <w:sz w:val="20"/>
                <w:szCs w:val="20"/>
                <w:color w:val="auto"/>
              </w:rPr>
            </w:pPr>
            <w:r>
              <w:rPr>
                <w:rFonts w:ascii="Arial" w:cs="Arial" w:eastAsia="Arial" w:hAnsi="Arial"/>
                <w:sz w:val="11"/>
                <w:szCs w:val="11"/>
                <w:color w:val="auto"/>
              </w:rPr>
              <w:t>•</w:t>
            </w:r>
          </w:p>
        </w:tc>
        <w:tc>
          <w:tcPr>
            <w:tcW w:w="2620" w:type="dxa"/>
            <w:vAlign w:val="bottom"/>
          </w:tcPr>
          <w:p>
            <w:pPr>
              <w:ind w:left="40"/>
              <w:spacing w:after="0"/>
              <w:rPr>
                <w:sz w:val="20"/>
                <w:szCs w:val="20"/>
                <w:color w:val="auto"/>
              </w:rPr>
            </w:pPr>
            <w:r>
              <w:rPr>
                <w:rFonts w:ascii="Arial" w:cs="Arial" w:eastAsia="Arial" w:hAnsi="Arial"/>
                <w:sz w:val="11"/>
                <w:szCs w:val="11"/>
                <w:color w:val="auto"/>
              </w:rPr>
              <w:t>Enterprise Risk Management</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3700" w:type="dxa"/>
            <w:vAlign w:val="bottom"/>
          </w:tcPr>
          <w:p>
            <w:pPr>
              <w:ind w:left="20"/>
              <w:spacing w:after="0"/>
              <w:rPr>
                <w:sz w:val="20"/>
                <w:szCs w:val="20"/>
                <w:color w:val="auto"/>
              </w:rPr>
            </w:pPr>
            <w:r>
              <w:rPr>
                <w:rFonts w:ascii="Arial" w:cs="Arial" w:eastAsia="Arial" w:hAnsi="Arial"/>
                <w:sz w:val="11"/>
                <w:szCs w:val="11"/>
                <w:color w:val="auto"/>
              </w:rPr>
              <w:t>Corporate Governance</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940" w:type="dxa"/>
            <w:vAlign w:val="bottom"/>
          </w:tcPr>
          <w:p>
            <w:pPr>
              <w:ind w:left="40"/>
              <w:spacing w:after="0"/>
              <w:rPr>
                <w:sz w:val="20"/>
                <w:szCs w:val="20"/>
                <w:color w:val="auto"/>
              </w:rPr>
            </w:pPr>
            <w:r>
              <w:rPr>
                <w:rFonts w:ascii="Arial" w:cs="Arial" w:eastAsia="Arial" w:hAnsi="Arial"/>
                <w:sz w:val="11"/>
                <w:szCs w:val="11"/>
                <w:color w:val="auto"/>
              </w:rPr>
              <w:t>Mergers and Acquisitions</w:t>
            </w:r>
          </w:p>
        </w:tc>
        <w:tc>
          <w:tcPr>
            <w:tcW w:w="380" w:type="dxa"/>
            <w:vAlign w:val="bottom"/>
          </w:tcPr>
          <w:p>
            <w:pPr>
              <w:ind w:left="300"/>
              <w:spacing w:after="0"/>
              <w:rPr>
                <w:sz w:val="20"/>
                <w:szCs w:val="20"/>
                <w:color w:val="auto"/>
              </w:rPr>
            </w:pPr>
            <w:r>
              <w:rPr>
                <w:rFonts w:ascii="Arial" w:cs="Arial" w:eastAsia="Arial" w:hAnsi="Arial"/>
                <w:sz w:val="11"/>
                <w:szCs w:val="11"/>
                <w:color w:val="auto"/>
              </w:rPr>
              <w:t>•</w:t>
            </w:r>
          </w:p>
        </w:tc>
        <w:tc>
          <w:tcPr>
            <w:tcW w:w="2620" w:type="dxa"/>
            <w:vAlign w:val="bottom"/>
          </w:tcPr>
          <w:p>
            <w:pPr>
              <w:ind w:left="40"/>
              <w:spacing w:after="0"/>
              <w:rPr>
                <w:sz w:val="20"/>
                <w:szCs w:val="20"/>
                <w:color w:val="auto"/>
              </w:rPr>
            </w:pPr>
            <w:r>
              <w:rPr>
                <w:rFonts w:ascii="Arial" w:cs="Arial" w:eastAsia="Arial" w:hAnsi="Arial"/>
                <w:sz w:val="11"/>
                <w:szCs w:val="11"/>
                <w:color w:val="auto"/>
              </w:rPr>
              <w:t>Leadership Development</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3700" w:type="dxa"/>
            <w:vAlign w:val="bottom"/>
          </w:tcPr>
          <w:p>
            <w:pPr>
              <w:ind w:left="20"/>
              <w:spacing w:after="0"/>
              <w:rPr>
                <w:sz w:val="20"/>
                <w:szCs w:val="20"/>
                <w:color w:val="auto"/>
              </w:rPr>
            </w:pPr>
            <w:r>
              <w:rPr>
                <w:rFonts w:ascii="Arial" w:cs="Arial" w:eastAsia="Arial" w:hAnsi="Arial"/>
                <w:sz w:val="11"/>
                <w:szCs w:val="11"/>
                <w:color w:val="auto"/>
              </w:rPr>
              <w:t>Public Company Board Experience</w:t>
            </w:r>
          </w:p>
        </w:tc>
      </w:tr>
      <w:tr>
        <w:trPr>
          <w:trHeight w:val="158"/>
        </w:trPr>
        <w:tc>
          <w:tcPr>
            <w:tcW w:w="1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Investor Relations</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Business Operations</w:t>
            </w:r>
          </w:p>
        </w:tc>
        <w:tc>
          <w:tcPr>
            <w:tcW w:w="32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39370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140"/>
          </w:cols>
          <w:pgMar w:left="1380" w:top="850" w:right="1379" w:bottom="1440" w:gutter="0" w:footer="0" w:header="0"/>
        </w:sectPr>
      </w:pPr>
    </w:p>
    <w:bookmarkStart w:id="22" w:name="page23"/>
    <w:bookmarkEnd w:id="22"/>
    <w:p>
      <w:pPr>
        <w:ind w:left="1540"/>
        <w:spacing w:after="0"/>
        <w:rPr>
          <w:sz w:val="20"/>
          <w:szCs w:val="20"/>
          <w:color w:val="auto"/>
        </w:rPr>
      </w:pPr>
      <w:r>
        <w:rPr>
          <w:rFonts w:ascii="Arial" w:cs="Arial" w:eastAsia="Arial" w:hAnsi="Arial"/>
          <w:sz w:val="14"/>
          <w:szCs w:val="14"/>
          <w:b w:val="1"/>
          <w:bCs w:val="1"/>
          <w:color w:val="auto"/>
        </w:rPr>
        <w:t>Class III Directors –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80645</wp:posOffset>
            </wp:positionV>
            <wp:extent cx="948690" cy="12001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8690" cy="1200150"/>
                    </a:xfrm>
                    <a:prstGeom prst="rect">
                      <a:avLst/>
                    </a:prstGeom>
                    <a:noFill/>
                  </pic:spPr>
                </pic:pic>
              </a:graphicData>
            </a:graphic>
          </wp:anchor>
        </w:drawing>
      </w:r>
    </w:p>
    <w:p>
      <w:pPr>
        <w:spacing w:after="0" w:line="107" w:lineRule="exact"/>
        <w:rPr>
          <w:sz w:val="20"/>
          <w:szCs w:val="20"/>
          <w:color w:val="auto"/>
        </w:rPr>
      </w:pPr>
    </w:p>
    <w:tbl>
      <w:tblPr>
        <w:tblLayout w:type="fixed"/>
        <w:tblInd w:w="1540" w:type="dxa"/>
        <w:tblCellMar>
          <w:top w:w="0" w:type="dxa"/>
          <w:left w:w="0" w:type="dxa"/>
          <w:bottom w:w="0" w:type="dxa"/>
          <w:right w:w="0" w:type="dxa"/>
        </w:tblCellMar>
      </w:tblPr>
      <w:tr>
        <w:trPr>
          <w:trHeight w:val="314"/>
        </w:trPr>
        <w:tc>
          <w:tcPr>
            <w:tcW w:w="3300" w:type="dxa"/>
            <w:vAlign w:val="bottom"/>
            <w:tcBorders>
              <w:right w:val="single" w:sz="8" w:color="DBDBDB"/>
            </w:tcBorders>
            <w:shd w:val="clear" w:color="auto" w:fill="D9D9D9"/>
          </w:tcPr>
          <w:p>
            <w:pPr>
              <w:ind w:left="1520"/>
              <w:spacing w:after="0"/>
              <w:rPr>
                <w:sz w:val="20"/>
                <w:szCs w:val="20"/>
                <w:color w:val="auto"/>
              </w:rPr>
            </w:pPr>
            <w:r>
              <w:rPr>
                <w:rFonts w:ascii="Arial" w:cs="Arial" w:eastAsia="Arial" w:hAnsi="Arial"/>
                <w:sz w:val="17"/>
                <w:szCs w:val="17"/>
                <w:b w:val="1"/>
                <w:bCs w:val="1"/>
                <w:color w:val="05445E"/>
              </w:rPr>
              <w:t>Elizabeth M. Lilly</w:t>
            </w:r>
          </w:p>
        </w:tc>
        <w:tc>
          <w:tcPr>
            <w:tcW w:w="1220" w:type="dxa"/>
            <w:vAlign w:val="bottom"/>
            <w:gridSpan w:val="2"/>
            <w:shd w:val="clear" w:color="auto" w:fill="D9D9D9"/>
          </w:tcPr>
          <w:p>
            <w:pPr>
              <w:spacing w:after="0"/>
              <w:rPr>
                <w:sz w:val="20"/>
                <w:szCs w:val="20"/>
                <w:color w:val="auto"/>
              </w:rPr>
            </w:pPr>
            <w:r>
              <w:rPr>
                <w:rFonts w:ascii="Arial" w:cs="Arial" w:eastAsia="Arial" w:hAnsi="Arial"/>
                <w:sz w:val="11"/>
                <w:szCs w:val="11"/>
                <w:b w:val="1"/>
                <w:bCs w:val="1"/>
                <w:color w:val="05445E"/>
              </w:rPr>
              <w:t>Apogee Committees:</w:t>
            </w:r>
          </w:p>
        </w:tc>
        <w:tc>
          <w:tcPr>
            <w:tcW w:w="1420" w:type="dxa"/>
            <w:vAlign w:val="bottom"/>
            <w:shd w:val="clear" w:color="auto" w:fill="D9D9D9"/>
          </w:tcPr>
          <w:p>
            <w:pPr>
              <w:ind w:left="120"/>
              <w:spacing w:after="0"/>
              <w:rPr>
                <w:sz w:val="20"/>
                <w:szCs w:val="20"/>
                <w:color w:val="auto"/>
              </w:rPr>
            </w:pPr>
            <w:r>
              <w:rPr>
                <w:rFonts w:ascii="Arial" w:cs="Arial" w:eastAsia="Arial" w:hAnsi="Arial"/>
                <w:sz w:val="11"/>
                <w:szCs w:val="11"/>
                <w:b w:val="1"/>
                <w:bCs w:val="1"/>
                <w:color w:val="05445E"/>
              </w:rPr>
              <w:t>Public Directorships:</w:t>
            </w:r>
          </w:p>
        </w:tc>
        <w:tc>
          <w:tcPr>
            <w:tcW w:w="0" w:type="dxa"/>
            <w:vAlign w:val="bottom"/>
          </w:tcPr>
          <w:p>
            <w:pPr>
              <w:spacing w:after="0"/>
              <w:rPr>
                <w:sz w:val="1"/>
                <w:szCs w:val="1"/>
                <w:color w:val="auto"/>
              </w:rPr>
            </w:pPr>
          </w:p>
        </w:tc>
      </w:tr>
      <w:tr>
        <w:trPr>
          <w:trHeight w:val="143"/>
        </w:trPr>
        <w:tc>
          <w:tcPr>
            <w:tcW w:w="3300" w:type="dxa"/>
            <w:vAlign w:val="bottom"/>
            <w:tcBorders>
              <w:right w:val="single" w:sz="8" w:color="DBDBDB"/>
            </w:tcBorders>
            <w:vMerge w:val="restart"/>
            <w:shd w:val="clear" w:color="auto" w:fill="D9D9D9"/>
          </w:tcPr>
          <w:p>
            <w:pPr>
              <w:ind w:left="152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63</w:t>
            </w:r>
          </w:p>
        </w:tc>
        <w:tc>
          <w:tcPr>
            <w:tcW w:w="1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ind w:left="40"/>
              <w:spacing w:after="0"/>
              <w:rPr>
                <w:sz w:val="20"/>
                <w:szCs w:val="20"/>
                <w:color w:val="auto"/>
              </w:rPr>
            </w:pPr>
            <w:r>
              <w:rPr>
                <w:rFonts w:ascii="Arial" w:cs="Arial" w:eastAsia="Arial" w:hAnsi="Arial"/>
                <w:sz w:val="11"/>
                <w:szCs w:val="11"/>
                <w:color w:val="auto"/>
              </w:rPr>
              <w:t>Audit</w:t>
            </w:r>
          </w:p>
        </w:tc>
        <w:tc>
          <w:tcPr>
            <w:tcW w:w="14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 N/A</w:t>
            </w:r>
          </w:p>
        </w:tc>
        <w:tc>
          <w:tcPr>
            <w:tcW w:w="0" w:type="dxa"/>
            <w:vAlign w:val="bottom"/>
          </w:tcPr>
          <w:p>
            <w:pPr>
              <w:spacing w:after="0"/>
              <w:rPr>
                <w:sz w:val="1"/>
                <w:szCs w:val="1"/>
                <w:color w:val="auto"/>
              </w:rPr>
            </w:pPr>
          </w:p>
        </w:tc>
      </w:tr>
      <w:tr>
        <w:trPr>
          <w:trHeight w:val="153"/>
        </w:trPr>
        <w:tc>
          <w:tcPr>
            <w:tcW w:w="3300" w:type="dxa"/>
            <w:vAlign w:val="bottom"/>
            <w:tcBorders>
              <w:right w:val="single" w:sz="8" w:color="DBDBDB"/>
            </w:tcBorders>
            <w:vMerge w:val="continue"/>
            <w:shd w:val="clear" w:color="auto" w:fill="D9D9D9"/>
          </w:tcPr>
          <w:p>
            <w:pPr>
              <w:spacing w:after="0"/>
              <w:rPr>
                <w:sz w:val="13"/>
                <w:szCs w:val="13"/>
                <w:color w:val="auto"/>
              </w:rPr>
            </w:pPr>
          </w:p>
        </w:tc>
        <w:tc>
          <w:tcPr>
            <w:tcW w:w="1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ind w:left="40"/>
              <w:spacing w:after="0"/>
              <w:rPr>
                <w:sz w:val="20"/>
                <w:szCs w:val="20"/>
                <w:color w:val="auto"/>
              </w:rPr>
            </w:pPr>
            <w:r>
              <w:rPr>
                <w:rFonts w:ascii="Arial" w:cs="Arial" w:eastAsia="Arial" w:hAnsi="Arial"/>
                <w:sz w:val="11"/>
                <w:szCs w:val="11"/>
                <w:color w:val="auto"/>
              </w:rPr>
              <w:t>Compensation</w:t>
            </w:r>
          </w:p>
        </w:tc>
        <w:tc>
          <w:tcPr>
            <w:tcW w:w="14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300" w:type="dxa"/>
            <w:vAlign w:val="bottom"/>
            <w:tcBorders>
              <w:right w:val="single" w:sz="8" w:color="DBDBDB"/>
            </w:tcBorders>
            <w:shd w:val="clear" w:color="auto" w:fill="D9D9D9"/>
          </w:tcPr>
          <w:p>
            <w:pPr>
              <w:ind w:left="15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2020</w:t>
            </w:r>
          </w:p>
        </w:tc>
        <w:tc>
          <w:tcPr>
            <w:tcW w:w="18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4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00" w:type="dxa"/>
            <w:vAlign w:val="bottom"/>
            <w:tcBorders>
              <w:right w:val="single" w:sz="8" w:color="DBDBDB"/>
            </w:tcBorders>
            <w:shd w:val="clear" w:color="auto" w:fill="D9D9D9"/>
          </w:tcPr>
          <w:p>
            <w:pPr>
              <w:ind w:left="1520"/>
              <w:spacing w:after="0"/>
              <w:rPr>
                <w:sz w:val="20"/>
                <w:szCs w:val="20"/>
                <w:color w:val="auto"/>
              </w:rPr>
            </w:pPr>
            <w:r>
              <w:rPr>
                <w:rFonts w:ascii="Arial" w:cs="Arial" w:eastAsia="Arial" w:hAnsi="Arial"/>
                <w:sz w:val="11"/>
                <w:szCs w:val="11"/>
                <w:b w:val="1"/>
                <w:bCs w:val="1"/>
                <w:color w:val="auto"/>
              </w:rPr>
              <w:t>Independent</w:t>
            </w:r>
          </w:p>
        </w:tc>
        <w:tc>
          <w:tcPr>
            <w:tcW w:w="180" w:type="dxa"/>
            <w:vAlign w:val="bottom"/>
            <w:shd w:val="clear" w:color="auto" w:fill="D9D9D9"/>
          </w:tcPr>
          <w:p>
            <w:pPr>
              <w:spacing w:after="0"/>
              <w:rPr>
                <w:sz w:val="15"/>
                <w:szCs w:val="15"/>
                <w:color w:val="auto"/>
              </w:rPr>
            </w:pPr>
          </w:p>
        </w:tc>
        <w:tc>
          <w:tcPr>
            <w:tcW w:w="104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013"/>
        </w:trPr>
        <w:tc>
          <w:tcPr>
            <w:tcW w:w="3300" w:type="dxa"/>
            <w:vAlign w:val="bottom"/>
            <w:tcBorders>
              <w:right w:val="single" w:sz="8" w:color="DBDBDB"/>
            </w:tcBorders>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14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1540" w:right="1559"/>
        <w:spacing w:after="0" w:line="276" w:lineRule="auto"/>
        <w:rPr>
          <w:sz w:val="20"/>
          <w:szCs w:val="20"/>
          <w:color w:val="auto"/>
        </w:rPr>
      </w:pPr>
      <w:r>
        <w:rPr>
          <w:rFonts w:ascii="Arial" w:cs="Arial" w:eastAsia="Arial" w:hAnsi="Arial"/>
          <w:sz w:val="10"/>
          <w:szCs w:val="10"/>
          <w:b w:val="1"/>
          <w:bCs w:val="1"/>
          <w:color w:val="05445E"/>
        </w:rPr>
        <w:t xml:space="preserve">Ms. Lilly </w:t>
      </w:r>
      <w:r>
        <w:rPr>
          <w:rFonts w:ascii="Arial" w:cs="Arial" w:eastAsia="Arial" w:hAnsi="Arial"/>
          <w:sz w:val="10"/>
          <w:szCs w:val="10"/>
          <w:color w:val="000000"/>
        </w:rPr>
        <w:t>has served as Chief Investment Officer and Executive Vice President for The Pohlad Companies, a privately</w:t>
      </w:r>
      <w:r>
        <w:rPr>
          <w:rFonts w:ascii="Arial" w:cs="Arial" w:eastAsia="Arial" w:hAnsi="Arial"/>
          <w:sz w:val="10"/>
          <w:szCs w:val="10"/>
          <w:b w:val="1"/>
          <w:bCs w:val="1"/>
          <w:color w:val="05445E"/>
        </w:rPr>
        <w:t xml:space="preserve"> </w:t>
      </w:r>
      <w:r>
        <w:rPr>
          <w:rFonts w:ascii="Arial" w:cs="Arial" w:eastAsia="Arial" w:hAnsi="Arial"/>
          <w:sz w:val="10"/>
          <w:szCs w:val="10"/>
          <w:color w:val="000000"/>
        </w:rPr>
        <w:t>owned business based in Minneapolis, Minnesota that holds a diverse group of businesses and business interests, since 2018. She oversees the public and private investments for the Pohlad family and provides leadership and management of the investment team of The Pohlad Companies. Ms. Lilly has over 30 years in portfolio and investment management experience. She founded Crocus Hill Partners, a small capitalization portfolio firm, in 2017 and served as its President from 2017 to 2018. She served as Senior Vice President and Portfolio Manager for Gabelli Asset Management from 2002 to 2017. She was a co-founder of Woodland Partners, LLC in 1997 and served as Managing Director from 1997 to 2002, when the firm was acquired by Gabelli Asset Management. Earlier in her career, Ms. Lilly served in various portfolio management and analyst positions for First Asset Management, Fund American Companies and Goldman, Sachs and Company.</w:t>
      </w:r>
    </w:p>
    <w:p>
      <w:pPr>
        <w:spacing w:after="0" w:line="43" w:lineRule="exact"/>
        <w:rPr>
          <w:sz w:val="20"/>
          <w:szCs w:val="20"/>
          <w:color w:val="auto"/>
        </w:rPr>
      </w:pPr>
    </w:p>
    <w:p>
      <w:pPr>
        <w:jc w:val="both"/>
        <w:ind w:left="1540" w:right="1559"/>
        <w:spacing w:after="0" w:line="285" w:lineRule="auto"/>
        <w:rPr>
          <w:sz w:val="20"/>
          <w:szCs w:val="20"/>
          <w:color w:val="auto"/>
        </w:rPr>
      </w:pPr>
      <w:r>
        <w:rPr>
          <w:rFonts w:ascii="Arial" w:cs="Arial" w:eastAsia="Arial" w:hAnsi="Arial"/>
          <w:sz w:val="11"/>
          <w:szCs w:val="11"/>
          <w:color w:val="auto"/>
        </w:rPr>
        <w:t>Ms. Lilly holds a B.A. in Economics from Hobart and William Smith Colleges. She received her Chartered Financial Analyst designation in 1989.</w:t>
      </w:r>
    </w:p>
    <w:p>
      <w:pPr>
        <w:spacing w:after="0" w:line="159" w:lineRule="exact"/>
        <w:rPr>
          <w:sz w:val="20"/>
          <w:szCs w:val="20"/>
          <w:color w:val="auto"/>
        </w:rPr>
      </w:pPr>
    </w:p>
    <w:tbl>
      <w:tblPr>
        <w:tblLayout w:type="fixed"/>
        <w:tblInd w:w="1540" w:type="dxa"/>
        <w:tblCellMar>
          <w:top w:w="0" w:type="dxa"/>
          <w:left w:w="0" w:type="dxa"/>
          <w:bottom w:w="0" w:type="dxa"/>
          <w:right w:w="0" w:type="dxa"/>
        </w:tblCellMar>
      </w:tblPr>
      <w:tr>
        <w:trPr>
          <w:trHeight w:val="148"/>
        </w:trPr>
        <w:tc>
          <w:tcPr>
            <w:tcW w:w="1520" w:type="dxa"/>
            <w:vAlign w:val="bottom"/>
            <w:gridSpan w:val="2"/>
          </w:tcPr>
          <w:p>
            <w:pPr>
              <w:spacing w:after="0"/>
              <w:rPr>
                <w:sz w:val="20"/>
                <w:szCs w:val="20"/>
                <w:color w:val="auto"/>
              </w:rPr>
            </w:pPr>
            <w:r>
              <w:rPr>
                <w:rFonts w:ascii="Arial" w:cs="Arial" w:eastAsia="Arial" w:hAnsi="Arial"/>
                <w:sz w:val="11"/>
                <w:szCs w:val="11"/>
                <w:b w:val="1"/>
                <w:bCs w:val="1"/>
                <w:color w:val="05445E"/>
              </w:rPr>
              <w:t>Skills &amp; Qualifications:</w:t>
            </w: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74"/>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300" w:type="dxa"/>
            <w:vAlign w:val="bottom"/>
          </w:tcPr>
          <w:p>
            <w:pPr>
              <w:ind w:left="220"/>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Asset Management</w:t>
            </w:r>
          </w:p>
        </w:tc>
        <w:tc>
          <w:tcPr>
            <w:tcW w:w="360" w:type="dxa"/>
            <w:vAlign w:val="bottom"/>
          </w:tcPr>
          <w:p>
            <w:pPr>
              <w:ind w:left="280"/>
              <w:spacing w:after="0"/>
              <w:rPr>
                <w:sz w:val="20"/>
                <w:szCs w:val="20"/>
                <w:color w:val="auto"/>
              </w:rPr>
            </w:pPr>
            <w:r>
              <w:rPr>
                <w:rFonts w:ascii="Arial" w:cs="Arial" w:eastAsia="Arial" w:hAnsi="Arial"/>
                <w:sz w:val="11"/>
                <w:szCs w:val="11"/>
                <w:color w:val="auto"/>
              </w:rPr>
              <w:t>•</w:t>
            </w:r>
          </w:p>
        </w:tc>
        <w:tc>
          <w:tcPr>
            <w:tcW w:w="2240" w:type="dxa"/>
            <w:vAlign w:val="bottom"/>
          </w:tcPr>
          <w:p>
            <w:pPr>
              <w:ind w:left="20"/>
              <w:spacing w:after="0"/>
              <w:rPr>
                <w:sz w:val="20"/>
                <w:szCs w:val="20"/>
                <w:color w:val="auto"/>
              </w:rPr>
            </w:pPr>
            <w:r>
              <w:rPr>
                <w:rFonts w:ascii="Arial" w:cs="Arial" w:eastAsia="Arial" w:hAnsi="Arial"/>
                <w:sz w:val="11"/>
                <w:szCs w:val="11"/>
                <w:color w:val="auto"/>
              </w:rPr>
              <w:t>Financial Markets</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40" w:type="dxa"/>
            <w:vAlign w:val="bottom"/>
          </w:tcPr>
          <w:p>
            <w:pPr>
              <w:ind w:left="40"/>
              <w:spacing w:after="0"/>
              <w:rPr>
                <w:sz w:val="20"/>
                <w:szCs w:val="20"/>
                <w:color w:val="auto"/>
              </w:rPr>
            </w:pPr>
            <w:r>
              <w:rPr>
                <w:rFonts w:ascii="Arial" w:cs="Arial" w:eastAsia="Arial" w:hAnsi="Arial"/>
                <w:sz w:val="11"/>
                <w:szCs w:val="11"/>
                <w:color w:val="auto"/>
              </w:rPr>
              <w:t>Financial Management</w:t>
            </w:r>
          </w:p>
        </w:tc>
        <w:tc>
          <w:tcPr>
            <w:tcW w:w="300" w:type="dxa"/>
            <w:vAlign w:val="bottom"/>
          </w:tcPr>
          <w:p>
            <w:pPr>
              <w:ind w:left="220"/>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Leadership Development</w:t>
            </w:r>
          </w:p>
        </w:tc>
        <w:tc>
          <w:tcPr>
            <w:tcW w:w="360" w:type="dxa"/>
            <w:vAlign w:val="bottom"/>
          </w:tcPr>
          <w:p>
            <w:pPr>
              <w:ind w:left="280"/>
              <w:spacing w:after="0"/>
              <w:rPr>
                <w:sz w:val="20"/>
                <w:szCs w:val="20"/>
                <w:color w:val="auto"/>
              </w:rPr>
            </w:pPr>
            <w:r>
              <w:rPr>
                <w:rFonts w:ascii="Arial" w:cs="Arial" w:eastAsia="Arial" w:hAnsi="Arial"/>
                <w:sz w:val="11"/>
                <w:szCs w:val="11"/>
                <w:color w:val="auto"/>
              </w:rPr>
              <w:t>•</w:t>
            </w:r>
          </w:p>
        </w:tc>
        <w:tc>
          <w:tcPr>
            <w:tcW w:w="2240" w:type="dxa"/>
            <w:vAlign w:val="bottom"/>
          </w:tcPr>
          <w:p>
            <w:pPr>
              <w:ind w:left="20"/>
              <w:spacing w:after="0"/>
              <w:rPr>
                <w:sz w:val="20"/>
                <w:szCs w:val="20"/>
                <w:color w:val="auto"/>
              </w:rPr>
            </w:pPr>
            <w:r>
              <w:rPr>
                <w:rFonts w:ascii="Arial" w:cs="Arial" w:eastAsia="Arial" w:hAnsi="Arial"/>
                <w:sz w:val="11"/>
                <w:szCs w:val="11"/>
                <w:color w:val="auto"/>
              </w:rPr>
              <w:t>Capital Allocations</w:t>
            </w:r>
          </w:p>
        </w:tc>
      </w:tr>
      <w:tr>
        <w:trPr>
          <w:trHeight w:val="209"/>
        </w:trPr>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33655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23" w:name="page24"/>
    <w:bookmarkEnd w:id="23"/>
    <w:p>
      <w:pPr>
        <w:ind w:left="1540"/>
        <w:spacing w:after="0"/>
        <w:rPr>
          <w:sz w:val="20"/>
          <w:szCs w:val="20"/>
          <w:color w:val="auto"/>
        </w:rPr>
      </w:pPr>
      <w:r>
        <w:rPr>
          <w:rFonts w:ascii="Arial" w:cs="Arial" w:eastAsia="Arial" w:hAnsi="Arial"/>
          <w:sz w:val="14"/>
          <w:szCs w:val="14"/>
          <w:b w:val="1"/>
          <w:bCs w:val="1"/>
          <w:color w:val="auto"/>
        </w:rPr>
        <w:t>Class III Directors – Terms Expiring in 2028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23495</wp:posOffset>
            </wp:positionV>
            <wp:extent cx="960120" cy="1205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120" cy="1205865"/>
                    </a:xfrm>
                    <a:prstGeom prst="rect">
                      <a:avLst/>
                    </a:prstGeom>
                    <a:noFill/>
                  </pic:spPr>
                </pic:pic>
              </a:graphicData>
            </a:graphic>
          </wp:anchor>
        </w:drawing>
      </w:r>
    </w:p>
    <w:p>
      <w:pPr>
        <w:spacing w:after="0" w:line="37" w:lineRule="exact"/>
        <w:rPr>
          <w:sz w:val="20"/>
          <w:szCs w:val="20"/>
          <w:color w:val="auto"/>
        </w:rPr>
      </w:pPr>
    </w:p>
    <w:tbl>
      <w:tblPr>
        <w:tblLayout w:type="fixed"/>
        <w:tblInd w:w="1540" w:type="dxa"/>
        <w:tblCellMar>
          <w:top w:w="0" w:type="dxa"/>
          <w:left w:w="0" w:type="dxa"/>
          <w:bottom w:w="0" w:type="dxa"/>
          <w:right w:w="0" w:type="dxa"/>
        </w:tblCellMar>
      </w:tblPr>
      <w:tr>
        <w:trPr>
          <w:trHeight w:val="303"/>
        </w:trPr>
        <w:tc>
          <w:tcPr>
            <w:tcW w:w="3300" w:type="dxa"/>
            <w:vAlign w:val="bottom"/>
            <w:tcBorders>
              <w:right w:val="single" w:sz="8" w:color="DBDBDB"/>
            </w:tcBorders>
            <w:shd w:val="clear" w:color="auto" w:fill="D9D9D9"/>
          </w:tcPr>
          <w:p>
            <w:pPr>
              <w:ind w:left="1540"/>
              <w:spacing w:after="0"/>
              <w:rPr>
                <w:sz w:val="20"/>
                <w:szCs w:val="20"/>
                <w:color w:val="auto"/>
              </w:rPr>
            </w:pPr>
            <w:r>
              <w:rPr>
                <w:rFonts w:ascii="Arial" w:cs="Arial" w:eastAsia="Arial" w:hAnsi="Arial"/>
                <w:sz w:val="17"/>
                <w:szCs w:val="17"/>
                <w:b w:val="1"/>
                <w:bCs w:val="1"/>
                <w:color w:val="05445E"/>
              </w:rPr>
              <w:t>Mark A. Pompa</w:t>
            </w:r>
          </w:p>
        </w:tc>
        <w:tc>
          <w:tcPr>
            <w:tcW w:w="1220" w:type="dxa"/>
            <w:vAlign w:val="bottom"/>
            <w:gridSpan w:val="2"/>
            <w:shd w:val="clear" w:color="auto" w:fill="D9D9D9"/>
          </w:tcPr>
          <w:p>
            <w:pPr>
              <w:spacing w:after="0"/>
              <w:rPr>
                <w:sz w:val="20"/>
                <w:szCs w:val="20"/>
                <w:color w:val="auto"/>
              </w:rPr>
            </w:pPr>
            <w:r>
              <w:rPr>
                <w:rFonts w:ascii="Arial" w:cs="Arial" w:eastAsia="Arial" w:hAnsi="Arial"/>
                <w:sz w:val="11"/>
                <w:szCs w:val="11"/>
                <w:b w:val="1"/>
                <w:bCs w:val="1"/>
                <w:color w:val="05445E"/>
              </w:rPr>
              <w:t>Apogee Committees:</w:t>
            </w:r>
          </w:p>
        </w:tc>
        <w:tc>
          <w:tcPr>
            <w:tcW w:w="1420" w:type="dxa"/>
            <w:vAlign w:val="bottom"/>
            <w:shd w:val="clear" w:color="auto" w:fill="D9D9D9"/>
          </w:tcPr>
          <w:p>
            <w:pPr>
              <w:jc w:val="right"/>
              <w:ind w:right="166"/>
              <w:spacing w:after="0"/>
              <w:rPr>
                <w:sz w:val="20"/>
                <w:szCs w:val="20"/>
                <w:color w:val="auto"/>
              </w:rPr>
            </w:pPr>
            <w:r>
              <w:rPr>
                <w:rFonts w:ascii="Arial" w:cs="Arial" w:eastAsia="Arial" w:hAnsi="Arial"/>
                <w:sz w:val="11"/>
                <w:szCs w:val="11"/>
                <w:b w:val="1"/>
                <w:bCs w:val="1"/>
                <w:color w:val="05445E"/>
              </w:rPr>
              <w:t>Public Directorships:</w:t>
            </w:r>
          </w:p>
        </w:tc>
        <w:tc>
          <w:tcPr>
            <w:tcW w:w="0" w:type="dxa"/>
            <w:vAlign w:val="bottom"/>
          </w:tcPr>
          <w:p>
            <w:pPr>
              <w:spacing w:after="0"/>
              <w:rPr>
                <w:sz w:val="1"/>
                <w:szCs w:val="1"/>
                <w:color w:val="auto"/>
              </w:rPr>
            </w:pPr>
          </w:p>
        </w:tc>
      </w:tr>
      <w:tr>
        <w:trPr>
          <w:trHeight w:val="143"/>
        </w:trPr>
        <w:tc>
          <w:tcPr>
            <w:tcW w:w="3300" w:type="dxa"/>
            <w:vAlign w:val="bottom"/>
            <w:tcBorders>
              <w:right w:val="single" w:sz="8" w:color="DBDBDB"/>
            </w:tcBorders>
            <w:vMerge w:val="restart"/>
            <w:shd w:val="clear" w:color="auto" w:fill="D9D9D9"/>
          </w:tcPr>
          <w:p>
            <w:pPr>
              <w:ind w:left="154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61</w:t>
            </w:r>
          </w:p>
        </w:tc>
        <w:tc>
          <w:tcPr>
            <w:tcW w:w="1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ind w:left="40"/>
              <w:spacing w:after="0"/>
              <w:rPr>
                <w:sz w:val="20"/>
                <w:szCs w:val="20"/>
                <w:color w:val="auto"/>
              </w:rPr>
            </w:pPr>
            <w:r>
              <w:rPr>
                <w:rFonts w:ascii="Arial" w:cs="Arial" w:eastAsia="Arial" w:hAnsi="Arial"/>
                <w:sz w:val="11"/>
                <w:szCs w:val="11"/>
                <w:color w:val="auto"/>
              </w:rPr>
              <w:t>Audit, Chair</w:t>
            </w:r>
          </w:p>
        </w:tc>
        <w:tc>
          <w:tcPr>
            <w:tcW w:w="1420" w:type="dxa"/>
            <w:vAlign w:val="bottom"/>
            <w:shd w:val="clear" w:color="auto" w:fill="D9D9D9"/>
          </w:tcPr>
          <w:p>
            <w:pPr>
              <w:jc w:val="right"/>
              <w:ind w:right="226"/>
              <w:spacing w:after="0"/>
              <w:rPr>
                <w:sz w:val="20"/>
                <w:szCs w:val="20"/>
                <w:color w:val="auto"/>
              </w:rPr>
            </w:pPr>
            <w:r>
              <w:rPr>
                <w:rFonts w:ascii="Arial" w:cs="Arial" w:eastAsia="Arial" w:hAnsi="Arial"/>
                <w:sz w:val="11"/>
                <w:szCs w:val="11"/>
                <w:color w:val="auto"/>
              </w:rPr>
              <w:t>• Pool Corporation</w:t>
            </w:r>
          </w:p>
        </w:tc>
        <w:tc>
          <w:tcPr>
            <w:tcW w:w="0" w:type="dxa"/>
            <w:vAlign w:val="bottom"/>
          </w:tcPr>
          <w:p>
            <w:pPr>
              <w:spacing w:after="0"/>
              <w:rPr>
                <w:sz w:val="1"/>
                <w:szCs w:val="1"/>
                <w:color w:val="auto"/>
              </w:rPr>
            </w:pPr>
          </w:p>
        </w:tc>
      </w:tr>
      <w:tr>
        <w:trPr>
          <w:trHeight w:val="153"/>
        </w:trPr>
        <w:tc>
          <w:tcPr>
            <w:tcW w:w="3300" w:type="dxa"/>
            <w:vAlign w:val="bottom"/>
            <w:tcBorders>
              <w:right w:val="single" w:sz="8" w:color="DBDBDB"/>
            </w:tcBorders>
            <w:vMerge w:val="continue"/>
            <w:shd w:val="clear" w:color="auto" w:fill="D9D9D9"/>
          </w:tcPr>
          <w:p>
            <w:pPr>
              <w:spacing w:after="0"/>
              <w:rPr>
                <w:sz w:val="13"/>
                <w:szCs w:val="13"/>
                <w:color w:val="auto"/>
              </w:rPr>
            </w:pPr>
          </w:p>
        </w:tc>
        <w:tc>
          <w:tcPr>
            <w:tcW w:w="1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ind w:left="40"/>
              <w:spacing w:after="0"/>
              <w:rPr>
                <w:sz w:val="20"/>
                <w:szCs w:val="20"/>
                <w:color w:val="auto"/>
              </w:rPr>
            </w:pPr>
            <w:r>
              <w:rPr>
                <w:rFonts w:ascii="Arial" w:cs="Arial" w:eastAsia="Arial" w:hAnsi="Arial"/>
                <w:sz w:val="11"/>
                <w:szCs w:val="11"/>
                <w:color w:val="auto"/>
              </w:rPr>
              <w:t>Compensation</w:t>
            </w:r>
          </w:p>
        </w:tc>
        <w:tc>
          <w:tcPr>
            <w:tcW w:w="1420" w:type="dxa"/>
            <w:vAlign w:val="bottom"/>
            <w:shd w:val="clear" w:color="auto" w:fill="D9D9D9"/>
          </w:tcPr>
          <w:p>
            <w:pPr>
              <w:jc w:val="right"/>
              <w:ind w:right="166"/>
              <w:spacing w:after="0"/>
              <w:rPr>
                <w:sz w:val="20"/>
                <w:szCs w:val="20"/>
                <w:color w:val="auto"/>
              </w:rPr>
            </w:pPr>
            <w:r>
              <w:rPr>
                <w:rFonts w:ascii="Arial" w:cs="Arial" w:eastAsia="Arial" w:hAnsi="Arial"/>
                <w:sz w:val="11"/>
                <w:szCs w:val="11"/>
                <w:color w:val="auto"/>
              </w:rPr>
              <w:t>(2026 - present)</w:t>
            </w:r>
          </w:p>
        </w:tc>
        <w:tc>
          <w:tcPr>
            <w:tcW w:w="0" w:type="dxa"/>
            <w:vAlign w:val="bottom"/>
          </w:tcPr>
          <w:p>
            <w:pPr>
              <w:spacing w:after="0"/>
              <w:rPr>
                <w:sz w:val="1"/>
                <w:szCs w:val="1"/>
                <w:color w:val="auto"/>
              </w:rPr>
            </w:pPr>
          </w:p>
        </w:tc>
      </w:tr>
      <w:tr>
        <w:trPr>
          <w:trHeight w:val="150"/>
        </w:trPr>
        <w:tc>
          <w:tcPr>
            <w:tcW w:w="3300" w:type="dxa"/>
            <w:vAlign w:val="bottom"/>
            <w:tcBorders>
              <w:right w:val="single" w:sz="8" w:color="DBDBDB"/>
            </w:tcBorders>
            <w:shd w:val="clear" w:color="auto" w:fill="D9D9D9"/>
          </w:tcPr>
          <w:p>
            <w:pPr>
              <w:ind w:left="154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2018</w:t>
            </w:r>
          </w:p>
        </w:tc>
        <w:tc>
          <w:tcPr>
            <w:tcW w:w="18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4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635"/>
        </w:trPr>
        <w:tc>
          <w:tcPr>
            <w:tcW w:w="3300" w:type="dxa"/>
            <w:vAlign w:val="bottom"/>
            <w:tcBorders>
              <w:right w:val="single" w:sz="8" w:color="DBDBDB"/>
            </w:tcBorders>
            <w:shd w:val="clear" w:color="auto" w:fill="D9D9D9"/>
          </w:tcPr>
          <w:p>
            <w:pPr>
              <w:ind w:left="1540"/>
              <w:spacing w:after="0"/>
              <w:rPr>
                <w:sz w:val="20"/>
                <w:szCs w:val="20"/>
                <w:color w:val="auto"/>
              </w:rPr>
            </w:pPr>
            <w:r>
              <w:rPr>
                <w:rFonts w:ascii="Arial" w:cs="Arial" w:eastAsia="Arial" w:hAnsi="Arial"/>
                <w:sz w:val="11"/>
                <w:szCs w:val="11"/>
                <w:b w:val="1"/>
                <w:bCs w:val="1"/>
                <w:color w:val="auto"/>
              </w:rPr>
              <w:t>Lead Director</w:t>
            </w:r>
          </w:p>
        </w:tc>
        <w:tc>
          <w:tcPr>
            <w:tcW w:w="18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14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Borders>
              <w:right w:val="single" w:sz="8" w:color="DBDBDB"/>
            </w:tcBorders>
            <w:shd w:val="clear" w:color="auto" w:fill="D9D9D9"/>
          </w:tcPr>
          <w:p>
            <w:pPr>
              <w:ind w:left="1660"/>
              <w:spacing w:after="0"/>
              <w:rPr>
                <w:sz w:val="20"/>
                <w:szCs w:val="20"/>
                <w:color w:val="auto"/>
              </w:rPr>
            </w:pPr>
            <w:r>
              <w:rPr>
                <w:rFonts w:ascii="Arial" w:cs="Arial" w:eastAsia="Arial" w:hAnsi="Arial"/>
                <w:sz w:val="11"/>
                <w:szCs w:val="11"/>
                <w:b w:val="1"/>
                <w:bCs w:val="1"/>
                <w:color w:val="auto"/>
              </w:rPr>
              <w:t>since January 2026</w:t>
            </w: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4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00" w:type="dxa"/>
            <w:vAlign w:val="bottom"/>
            <w:tcBorders>
              <w:right w:val="single" w:sz="8" w:color="DBDBDB"/>
            </w:tcBorders>
            <w:shd w:val="clear" w:color="auto" w:fill="D9D9D9"/>
          </w:tcPr>
          <w:p>
            <w:pPr>
              <w:ind w:left="1540"/>
              <w:spacing w:after="0"/>
              <w:rPr>
                <w:sz w:val="20"/>
                <w:szCs w:val="20"/>
                <w:color w:val="auto"/>
              </w:rPr>
            </w:pPr>
            <w:r>
              <w:rPr>
                <w:rFonts w:ascii="Arial" w:cs="Arial" w:eastAsia="Arial" w:hAnsi="Arial"/>
                <w:sz w:val="11"/>
                <w:szCs w:val="11"/>
                <w:b w:val="1"/>
                <w:bCs w:val="1"/>
                <w:color w:val="auto"/>
                <w:w w:val="97"/>
              </w:rPr>
              <w:t>Audit Committee Financial Expert</w:t>
            </w:r>
          </w:p>
        </w:tc>
        <w:tc>
          <w:tcPr>
            <w:tcW w:w="180" w:type="dxa"/>
            <w:vAlign w:val="bottom"/>
            <w:shd w:val="clear" w:color="auto" w:fill="D9D9D9"/>
          </w:tcPr>
          <w:p>
            <w:pPr>
              <w:spacing w:after="0"/>
              <w:rPr>
                <w:sz w:val="21"/>
                <w:szCs w:val="21"/>
                <w:color w:val="auto"/>
              </w:rPr>
            </w:pPr>
          </w:p>
        </w:tc>
        <w:tc>
          <w:tcPr>
            <w:tcW w:w="1040" w:type="dxa"/>
            <w:vAlign w:val="bottom"/>
            <w:shd w:val="clear" w:color="auto" w:fill="D9D9D9"/>
          </w:tcPr>
          <w:p>
            <w:pPr>
              <w:spacing w:after="0"/>
              <w:rPr>
                <w:sz w:val="21"/>
                <w:szCs w:val="21"/>
                <w:color w:val="auto"/>
              </w:rPr>
            </w:pPr>
          </w:p>
        </w:tc>
        <w:tc>
          <w:tcPr>
            <w:tcW w:w="14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300" w:type="dxa"/>
            <w:vAlign w:val="bottom"/>
            <w:tcBorders>
              <w:right w:val="single" w:sz="8" w:color="DBDBDB"/>
            </w:tcBorders>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14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1540" w:right="1559"/>
        <w:spacing w:after="0" w:line="254" w:lineRule="auto"/>
        <w:rPr>
          <w:sz w:val="20"/>
          <w:szCs w:val="20"/>
          <w:color w:val="auto"/>
        </w:rPr>
      </w:pPr>
      <w:r>
        <w:rPr>
          <w:rFonts w:ascii="Arial" w:cs="Arial" w:eastAsia="Arial" w:hAnsi="Arial"/>
          <w:sz w:val="11"/>
          <w:szCs w:val="11"/>
          <w:b w:val="1"/>
          <w:bCs w:val="1"/>
          <w:color w:val="05445E"/>
        </w:rPr>
        <w:t xml:space="preserve">Mr. Pompa </w:t>
      </w:r>
      <w:r>
        <w:rPr>
          <w:rFonts w:ascii="Arial" w:cs="Arial" w:eastAsia="Arial" w:hAnsi="Arial"/>
          <w:sz w:val="11"/>
          <w:szCs w:val="11"/>
          <w:color w:val="000000"/>
        </w:rPr>
        <w:t>served as the Executive Vice President and Chief Financial Officer of EMCOR Group, Inc., a Fortune 500</w:t>
      </w:r>
      <w:r>
        <w:rPr>
          <w:rFonts w:ascii="Arial" w:cs="Arial" w:eastAsia="Arial" w:hAnsi="Arial"/>
          <w:sz w:val="11"/>
          <w:szCs w:val="11"/>
          <w:b w:val="1"/>
          <w:bCs w:val="1"/>
          <w:color w:val="05445E"/>
        </w:rPr>
        <w:t xml:space="preserve"> </w:t>
      </w:r>
      <w:r>
        <w:rPr>
          <w:rFonts w:ascii="Arial" w:cs="Arial" w:eastAsia="Arial" w:hAnsi="Arial"/>
          <w:sz w:val="11"/>
          <w:szCs w:val="11"/>
          <w:color w:val="000000"/>
        </w:rPr>
        <w:t>leader in electrical and mechanical construction services, industrial and energy infrastructure and building services before retiring in 2024. Previously, he was Senior Vice President and Chief Accounting Officer of EMCOR from 2003 to 2006 and Treasurer from 2003 to 2007. He joined EMCOR in 1994, serving as Vice President and Controller until 2003. Prior to joining EMCOR, Mr. Pompa was an Audit and Business Advisory Manager at Arthur Andersen LLP.</w:t>
      </w:r>
    </w:p>
    <w:p>
      <w:pPr>
        <w:spacing w:after="0" w:line="51" w:lineRule="exact"/>
        <w:rPr>
          <w:sz w:val="20"/>
          <w:szCs w:val="20"/>
          <w:color w:val="auto"/>
        </w:rPr>
      </w:pPr>
    </w:p>
    <w:p>
      <w:pPr>
        <w:jc w:val="both"/>
        <w:ind w:left="1540" w:right="1559"/>
        <w:spacing w:after="0" w:line="268" w:lineRule="auto"/>
        <w:rPr>
          <w:sz w:val="20"/>
          <w:szCs w:val="20"/>
          <w:color w:val="auto"/>
        </w:rPr>
      </w:pPr>
      <w:r>
        <w:rPr>
          <w:rFonts w:ascii="Arial" w:cs="Arial" w:eastAsia="Arial" w:hAnsi="Arial"/>
          <w:sz w:val="11"/>
          <w:szCs w:val="11"/>
          <w:color w:val="auto"/>
        </w:rPr>
        <w:t>Mr. Pompa received his B.A. from Pace University. He is a licensed Certified Public Accountant (inactive) in the State of Connecticut.</w:t>
      </w:r>
    </w:p>
    <w:p>
      <w:pPr>
        <w:spacing w:after="0" w:line="51" w:lineRule="exact"/>
        <w:rPr>
          <w:sz w:val="20"/>
          <w:szCs w:val="20"/>
          <w:color w:val="auto"/>
        </w:rPr>
      </w:pPr>
    </w:p>
    <w:tbl>
      <w:tblPr>
        <w:tblLayout w:type="fixed"/>
        <w:tblInd w:w="1540" w:type="dxa"/>
        <w:tblCellMar>
          <w:top w:w="0" w:type="dxa"/>
          <w:left w:w="0" w:type="dxa"/>
          <w:bottom w:w="0" w:type="dxa"/>
          <w:right w:w="0" w:type="dxa"/>
        </w:tblCellMar>
      </w:tblPr>
      <w:tr>
        <w:trPr>
          <w:trHeight w:val="148"/>
        </w:trPr>
        <w:tc>
          <w:tcPr>
            <w:tcW w:w="1540" w:type="dxa"/>
            <w:vAlign w:val="bottom"/>
            <w:gridSpan w:val="2"/>
          </w:tcPr>
          <w:p>
            <w:pPr>
              <w:spacing w:after="0"/>
              <w:rPr>
                <w:sz w:val="20"/>
                <w:szCs w:val="20"/>
                <w:color w:val="auto"/>
              </w:rPr>
            </w:pPr>
            <w:r>
              <w:rPr>
                <w:rFonts w:ascii="Arial" w:cs="Arial" w:eastAsia="Arial" w:hAnsi="Arial"/>
                <w:sz w:val="11"/>
                <w:szCs w:val="11"/>
                <w:b w:val="1"/>
                <w:bCs w:val="1"/>
                <w:color w:val="05445E"/>
              </w:rPr>
              <w:t>Skills &amp; Qualifications:</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83"/>
        </w:trPr>
        <w:tc>
          <w:tcPr>
            <w:tcW w:w="180" w:type="dxa"/>
            <w:vAlign w:val="bottom"/>
          </w:tcPr>
          <w:p>
            <w:pPr>
              <w:ind w:left="120"/>
              <w:spacing w:after="0"/>
              <w:rPr>
                <w:sz w:val="20"/>
                <w:szCs w:val="20"/>
                <w:color w:val="auto"/>
              </w:rPr>
            </w:pPr>
            <w:r>
              <w:rPr>
                <w:rFonts w:ascii="Arial" w:cs="Arial" w:eastAsia="Arial" w:hAnsi="Arial"/>
                <w:sz w:val="11"/>
                <w:szCs w:val="11"/>
                <w:color w:val="05445E"/>
              </w:rPr>
              <w:t>•</w:t>
            </w:r>
          </w:p>
        </w:tc>
        <w:tc>
          <w:tcPr>
            <w:tcW w:w="136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300" w:type="dxa"/>
            <w:vAlign w:val="bottom"/>
          </w:tcPr>
          <w:p>
            <w:pPr>
              <w:ind w:left="220"/>
              <w:spacing w:after="0"/>
              <w:rPr>
                <w:sz w:val="20"/>
                <w:szCs w:val="20"/>
                <w:color w:val="auto"/>
              </w:rPr>
            </w:pPr>
            <w:r>
              <w:rPr>
                <w:rFonts w:ascii="Arial" w:cs="Arial" w:eastAsia="Arial" w:hAnsi="Arial"/>
                <w:sz w:val="11"/>
                <w:szCs w:val="11"/>
                <w:color w:val="auto"/>
              </w:rPr>
              <w:t>•</w:t>
            </w:r>
          </w:p>
        </w:tc>
        <w:tc>
          <w:tcPr>
            <w:tcW w:w="1540" w:type="dxa"/>
            <w:vAlign w:val="bottom"/>
          </w:tcPr>
          <w:p>
            <w:pPr>
              <w:ind w:left="20"/>
              <w:spacing w:after="0"/>
              <w:rPr>
                <w:sz w:val="20"/>
                <w:szCs w:val="20"/>
                <w:color w:val="auto"/>
              </w:rPr>
            </w:pPr>
            <w:r>
              <w:rPr>
                <w:rFonts w:ascii="Arial" w:cs="Arial" w:eastAsia="Arial" w:hAnsi="Arial"/>
                <w:sz w:val="11"/>
                <w:szCs w:val="11"/>
                <w:color w:val="auto"/>
              </w:rPr>
              <w:t>Business Operations</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2240" w:type="dxa"/>
            <w:vAlign w:val="bottom"/>
          </w:tcPr>
          <w:p>
            <w:pPr>
              <w:ind w:left="20"/>
              <w:spacing w:after="0"/>
              <w:rPr>
                <w:sz w:val="20"/>
                <w:szCs w:val="20"/>
                <w:color w:val="auto"/>
              </w:rPr>
            </w:pPr>
            <w:r>
              <w:rPr>
                <w:rFonts w:ascii="Arial" w:cs="Arial" w:eastAsia="Arial" w:hAnsi="Arial"/>
                <w:sz w:val="11"/>
                <w:szCs w:val="11"/>
                <w:color w:val="auto"/>
              </w:rPr>
              <w:t>Enterprise Risk Management</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60" w:type="dxa"/>
            <w:vAlign w:val="bottom"/>
          </w:tcPr>
          <w:p>
            <w:pPr>
              <w:ind w:left="40"/>
              <w:spacing w:after="0"/>
              <w:rPr>
                <w:sz w:val="20"/>
                <w:szCs w:val="20"/>
                <w:color w:val="auto"/>
              </w:rPr>
            </w:pPr>
            <w:r>
              <w:rPr>
                <w:rFonts w:ascii="Arial" w:cs="Arial" w:eastAsia="Arial" w:hAnsi="Arial"/>
                <w:sz w:val="11"/>
                <w:szCs w:val="11"/>
                <w:color w:val="auto"/>
              </w:rPr>
              <w:t>Financial Management</w:t>
            </w:r>
          </w:p>
        </w:tc>
        <w:tc>
          <w:tcPr>
            <w:tcW w:w="300" w:type="dxa"/>
            <w:vAlign w:val="bottom"/>
          </w:tcPr>
          <w:p>
            <w:pPr>
              <w:ind w:left="220"/>
              <w:spacing w:after="0"/>
              <w:rPr>
                <w:sz w:val="20"/>
                <w:szCs w:val="20"/>
                <w:color w:val="auto"/>
              </w:rPr>
            </w:pPr>
            <w:r>
              <w:rPr>
                <w:rFonts w:ascii="Arial" w:cs="Arial" w:eastAsia="Arial" w:hAnsi="Arial"/>
                <w:sz w:val="11"/>
                <w:szCs w:val="11"/>
                <w:color w:val="auto"/>
              </w:rPr>
              <w:t>•</w:t>
            </w:r>
          </w:p>
        </w:tc>
        <w:tc>
          <w:tcPr>
            <w:tcW w:w="1540" w:type="dxa"/>
            <w:vAlign w:val="bottom"/>
          </w:tcPr>
          <w:p>
            <w:pPr>
              <w:ind w:left="20"/>
              <w:spacing w:after="0"/>
              <w:rPr>
                <w:sz w:val="20"/>
                <w:szCs w:val="20"/>
                <w:color w:val="auto"/>
              </w:rPr>
            </w:pPr>
            <w:r>
              <w:rPr>
                <w:rFonts w:ascii="Arial" w:cs="Arial" w:eastAsia="Arial" w:hAnsi="Arial"/>
                <w:sz w:val="11"/>
                <w:szCs w:val="11"/>
                <w:color w:val="auto"/>
              </w:rPr>
              <w:t>Mergers and Acquisitions</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2240" w:type="dxa"/>
            <w:vAlign w:val="bottom"/>
          </w:tcPr>
          <w:p>
            <w:pPr>
              <w:ind w:left="20"/>
              <w:spacing w:after="0"/>
              <w:rPr>
                <w:sz w:val="20"/>
                <w:szCs w:val="20"/>
                <w:color w:val="auto"/>
              </w:rPr>
            </w:pPr>
            <w:r>
              <w:rPr>
                <w:rFonts w:ascii="Arial" w:cs="Arial" w:eastAsia="Arial" w:hAnsi="Arial"/>
                <w:sz w:val="11"/>
                <w:szCs w:val="11"/>
                <w:color w:val="auto"/>
              </w:rPr>
              <w:t>Leadership Development</w:t>
            </w:r>
          </w:p>
        </w:tc>
      </w:tr>
      <w:tr>
        <w:trPr>
          <w:trHeight w:val="153"/>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60" w:type="dxa"/>
            <w:vAlign w:val="bottom"/>
          </w:tcPr>
          <w:p>
            <w:pPr>
              <w:ind w:left="40"/>
              <w:spacing w:after="0"/>
              <w:rPr>
                <w:sz w:val="20"/>
                <w:szCs w:val="20"/>
                <w:color w:val="auto"/>
              </w:rPr>
            </w:pPr>
            <w:r>
              <w:rPr>
                <w:rFonts w:ascii="Arial" w:cs="Arial" w:eastAsia="Arial" w:hAnsi="Arial"/>
                <w:sz w:val="11"/>
                <w:szCs w:val="11"/>
                <w:color w:val="auto"/>
              </w:rPr>
              <w:t>Accounting and Audit</w:t>
            </w:r>
          </w:p>
        </w:tc>
        <w:tc>
          <w:tcPr>
            <w:tcW w:w="300" w:type="dxa"/>
            <w:vAlign w:val="bottom"/>
          </w:tcPr>
          <w:p>
            <w:pPr>
              <w:ind w:left="220"/>
              <w:spacing w:after="0"/>
              <w:rPr>
                <w:sz w:val="20"/>
                <w:szCs w:val="20"/>
                <w:color w:val="auto"/>
              </w:rPr>
            </w:pPr>
            <w:r>
              <w:rPr>
                <w:rFonts w:ascii="Arial" w:cs="Arial" w:eastAsia="Arial" w:hAnsi="Arial"/>
                <w:sz w:val="11"/>
                <w:szCs w:val="11"/>
                <w:color w:val="auto"/>
              </w:rPr>
              <w:t>•</w:t>
            </w:r>
          </w:p>
        </w:tc>
        <w:tc>
          <w:tcPr>
            <w:tcW w:w="1540" w:type="dxa"/>
            <w:vAlign w:val="bottom"/>
          </w:tcPr>
          <w:p>
            <w:pPr>
              <w:ind w:left="20"/>
              <w:spacing w:after="0"/>
              <w:rPr>
                <w:sz w:val="20"/>
                <w:szCs w:val="20"/>
                <w:color w:val="auto"/>
              </w:rPr>
            </w:pPr>
            <w:r>
              <w:rPr>
                <w:rFonts w:ascii="Arial" w:cs="Arial" w:eastAsia="Arial" w:hAnsi="Arial"/>
                <w:sz w:val="11"/>
                <w:szCs w:val="11"/>
                <w:color w:val="auto"/>
              </w:rPr>
              <w:t>Investor Relations</w:t>
            </w:r>
          </w:p>
        </w:tc>
        <w:tc>
          <w:tcPr>
            <w:tcW w:w="320" w:type="dxa"/>
            <w:vAlign w:val="bottom"/>
          </w:tcPr>
          <w:p>
            <w:pPr>
              <w:ind w:left="240"/>
              <w:spacing w:after="0"/>
              <w:rPr>
                <w:sz w:val="20"/>
                <w:szCs w:val="20"/>
                <w:color w:val="auto"/>
              </w:rPr>
            </w:pPr>
            <w:r>
              <w:rPr>
                <w:rFonts w:ascii="Arial" w:cs="Arial" w:eastAsia="Arial" w:hAnsi="Arial"/>
                <w:sz w:val="11"/>
                <w:szCs w:val="11"/>
                <w:color w:val="auto"/>
              </w:rPr>
              <w:t>•</w:t>
            </w:r>
          </w:p>
        </w:tc>
        <w:tc>
          <w:tcPr>
            <w:tcW w:w="2240" w:type="dxa"/>
            <w:vAlign w:val="bottom"/>
          </w:tcPr>
          <w:p>
            <w:pPr>
              <w:ind w:left="20"/>
              <w:spacing w:after="0"/>
              <w:rPr>
                <w:sz w:val="20"/>
                <w:szCs w:val="20"/>
                <w:color w:val="auto"/>
              </w:rPr>
            </w:pPr>
            <w:r>
              <w:rPr>
                <w:rFonts w:ascii="Arial" w:cs="Arial" w:eastAsia="Arial" w:hAnsi="Arial"/>
                <w:sz w:val="11"/>
                <w:szCs w:val="11"/>
                <w:color w:val="auto"/>
              </w:rPr>
              <w:t>Executive Compensation</w:t>
            </w:r>
          </w:p>
        </w:tc>
      </w:tr>
      <w:tr>
        <w:trPr>
          <w:trHeight w:val="137"/>
        </w:trPr>
        <w:tc>
          <w:tcPr>
            <w:tcW w:w="180" w:type="dxa"/>
            <w:vAlign w:val="bottom"/>
          </w:tcPr>
          <w:p>
            <w:pPr>
              <w:ind w:left="120"/>
              <w:spacing w:after="0"/>
              <w:rPr>
                <w:sz w:val="20"/>
                <w:szCs w:val="20"/>
                <w:color w:val="auto"/>
              </w:rPr>
            </w:pPr>
            <w:r>
              <w:rPr>
                <w:rFonts w:ascii="Arial" w:cs="Arial" w:eastAsia="Arial" w:hAnsi="Arial"/>
                <w:sz w:val="11"/>
                <w:szCs w:val="11"/>
                <w:color w:val="auto"/>
              </w:rPr>
              <w:t>•</w:t>
            </w:r>
          </w:p>
        </w:tc>
        <w:tc>
          <w:tcPr>
            <w:tcW w:w="1360" w:type="dxa"/>
            <w:vAlign w:val="bottom"/>
          </w:tcPr>
          <w:p>
            <w:pPr>
              <w:ind w:left="40"/>
              <w:spacing w:after="0"/>
              <w:rPr>
                <w:sz w:val="20"/>
                <w:szCs w:val="20"/>
                <w:color w:val="auto"/>
              </w:rPr>
            </w:pPr>
            <w:r>
              <w:rPr>
                <w:rFonts w:ascii="Arial" w:cs="Arial" w:eastAsia="Arial" w:hAnsi="Arial"/>
                <w:sz w:val="11"/>
                <w:szCs w:val="11"/>
                <w:color w:val="auto"/>
              </w:rPr>
              <w:t>Non-residential</w:t>
            </w:r>
          </w:p>
        </w:tc>
        <w:tc>
          <w:tcPr>
            <w:tcW w:w="300" w:type="dxa"/>
            <w:vAlign w:val="bottom"/>
          </w:tcPr>
          <w:p>
            <w:pPr>
              <w:ind w:left="220"/>
              <w:spacing w:after="0"/>
              <w:rPr>
                <w:sz w:val="20"/>
                <w:szCs w:val="20"/>
                <w:color w:val="auto"/>
              </w:rPr>
            </w:pPr>
            <w:r>
              <w:rPr>
                <w:rFonts w:ascii="Arial" w:cs="Arial" w:eastAsia="Arial" w:hAnsi="Arial"/>
                <w:sz w:val="11"/>
                <w:szCs w:val="11"/>
                <w:color w:val="auto"/>
              </w:rPr>
              <w:t>•</w:t>
            </w:r>
          </w:p>
        </w:tc>
        <w:tc>
          <w:tcPr>
            <w:tcW w:w="1540" w:type="dxa"/>
            <w:vAlign w:val="bottom"/>
          </w:tcPr>
          <w:p>
            <w:pPr>
              <w:ind w:left="20"/>
              <w:spacing w:after="0"/>
              <w:rPr>
                <w:sz w:val="20"/>
                <w:szCs w:val="20"/>
                <w:color w:val="auto"/>
              </w:rPr>
            </w:pPr>
            <w:r>
              <w:rPr>
                <w:rFonts w:ascii="Arial" w:cs="Arial" w:eastAsia="Arial" w:hAnsi="Arial"/>
                <w:sz w:val="11"/>
                <w:szCs w:val="11"/>
                <w:color w:val="auto"/>
              </w:rPr>
              <w:t>Strategy Development and</w:t>
            </w: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51"/>
        </w:trPr>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Construction Industry</w:t>
            </w: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Execution</w:t>
            </w:r>
          </w:p>
        </w:tc>
        <w:tc>
          <w:tcPr>
            <w:tcW w:w="3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Corporate Governance</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Our Board is committed to high standards of corporate governance and ethical business conduct. The following corporate governance resources reflect this commitment and provide a framework within which directors and management operate the business.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Corporate Governance Resources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 xml:space="preserve">Information related to our corporate governance is available on our website at </w:t>
      </w:r>
      <w:r>
        <w:rPr>
          <w:rFonts w:ascii="Arial" w:cs="Arial" w:eastAsia="Arial" w:hAnsi="Arial"/>
          <w:sz w:val="12"/>
          <w:szCs w:val="12"/>
          <w:color w:val="0000FF"/>
        </w:rPr>
        <w:t>www.apog.com</w:t>
      </w:r>
      <w:r>
        <w:rPr>
          <w:rFonts w:ascii="Arial" w:cs="Arial" w:eastAsia="Arial" w:hAnsi="Arial"/>
          <w:sz w:val="12"/>
          <w:szCs w:val="12"/>
          <w:color w:val="auto"/>
        </w:rPr>
        <w:t xml:space="preserve"> by clicking on “Investors,” selecting “Governance” and then selecting the applicable document or information. This information includes:</w:t>
      </w:r>
    </w:p>
    <w:p>
      <w:pPr>
        <w:spacing w:after="0" w:line="103"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Board and Committee Composition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Board Committee Charters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Code of Business Ethics and Conduct, including our Code of Conduct Hotline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How to Contact the Board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Corporate Governance Guidelines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Restated Articles of Incorporation, as amended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Amended and Restated By-laws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Conflict Minerals Policy and related resources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Information relating to our management team is also available on our website at </w:t>
      </w:r>
      <w:r>
        <w:rPr>
          <w:rFonts w:ascii="Arial" w:cs="Arial" w:eastAsia="Arial" w:hAnsi="Arial"/>
          <w:sz w:val="12"/>
          <w:szCs w:val="12"/>
          <w:color w:val="0000FF"/>
        </w:rPr>
        <w:t>www.apog.com</w:t>
      </w:r>
      <w:r>
        <w:rPr>
          <w:rFonts w:ascii="Arial" w:cs="Arial" w:eastAsia="Arial" w:hAnsi="Arial"/>
          <w:sz w:val="12"/>
          <w:szCs w:val="12"/>
          <w:color w:val="auto"/>
        </w:rPr>
        <w:t xml:space="preserve"> by clicking on “About Us” and then selecting “Leadership.”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Code of Business Ethics and Conduct</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Board of Directors has adopted our Code of Business Ethics and Conduct (our “Code of Conduct”), which is a statement of our high standards for ethical behavior and legal compliance. All employees and members of our Board of Directors are required to comply with our Code of Conduct and receive training and certification on our Code of Conduct each year. For employees suspecting a violation of our Code of Conduct, we maintain an independent hotline available 24/7 that allows both anonymous and confidential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Corporate Governance Guidelines</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Our Corporate Governance Guidelines outline the role, composition, qualifications, operation and other policies applicable to our Board of Directors and are revised as necessary to reflect evolving corporate governance practices.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Communications with Our Board of Directors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stakeholders may communicate directly with our Board of Directors, our Lead Director or any other specified individual director in writing by (i) sending a letter addressed to Apogee Directors, Apogee Enterprises, Inc., 4400 West 78th Street, Suite 520, Minneapolis, Minnesota 55435, or (ii) sending an email to Directors@apog.com. Substantive communications, such as corporate governance matters or potential issues relating to accounting, internal controls or other auditing matters, are forwarded by our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 team.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05445E"/>
        </w:rPr>
        <w:t>Director Independence</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Under our Corporate Governance Guidelines, a substantial majority of the directors on our Board, and all members of our Audit, Compensation, and Nominating and Corporate Governance Committees (collectively, the “Committees”) must be independent. Each year, in accordance with Nasdaq rules, our Board of Directors affirmatively determines the independence of each director and nominee for election as a director in accordance with guidelines it has adopted, which include all elements of independence set forth in the Nasdaq listing standards and applicable SEC rules.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Nominating and Corporate Governance Committee reviewed the applicable legal standards for Board member and Committee member independence and reported on its review to our Board of Directors. Based on this review, our Board of Directors has determined that the following non-employee directors are independent and have no material relationship with the Company except serving as a director and holding shares of our common stock: Christina M. Alvord, Lloyd E. Johnson, Elizabeth M. Lilly, Herbert K. Parker, Mark A. Pompa and Patricia K. Wagner. Our current Chief Executive Officer and Executive Chair, Donald A. Nolan, served as Chair of the Board of Directors until the close of business on October 31, 2025 and was considered independent during that period. At the close of business on October 31, 2025, upon his election as Chief Executive Officer and Executive Chair of the Board, Mr. Nolan ceased to be independent. Our Board of Directors had determined that our former Chief Executive Officer Ty R. Silberhorn was not independent because he served as an officer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Leadership Structure</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The Board recognizes that there are circumstances when combining the Chairman of the Board and Chief Executive Officer roles may be appropriate, such as for an interim period when either leader becomes incapacitated, or in the course of the Chairman of the Board or Chief Executive Officer transitions.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At the close of business on October 31, 2025, the Board appointed our Chair of the Board, Mr. Nolan, as our Chief Executive Officer and Executive Chair of our Board of Directors. This election was made after careful consideration by the Board after Mr. Silberhorn resigned from his position as President and Chief Executive Officer and a member of our Board of Directors. Mr. Nolan had served as our Independent Chair since January 2020.</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Ms. Wagner, a current member of our Board, was elected as Lead Director, on October 31, 2025. Ms. Wagner then resigned as Lead Director on January 14, 2026, and Mr. Pompa was elected as Lead Director on January 14, 2026. The Lead Director serves as the de facto leader of Apogee's independent directors and the focal point for ensuring that the Board of Directors, as a whole, is providing appropriate independent oversight of management. Our Company's Corporate Governance Guidelines explicitly mandate that the Board retains the right to exercise its discretion in combining or separating the offices of the Chairman of the Board and Chief Executive Officer. This determination will be made depending upon what the Board believes is best for Apogee in light of all circumstances at any particular time. When the position of Chairman of the Board is not held by an independent director, the Board will appoint a Lead Director who will have the duties and authority set forth below.</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Lead Director position will be held by an independent director. The Lead Director shall (i) preside at all meetings of the Board at which the Chairman is not present, including executive sessions of the independent directors; (ii) serve as a liaison between the Chairman and the independent directors (including communicating feedback from executive sessions of independent directors); (iii) seek input from the independent directors with respect to Board meeting agendas; (iv) approve meeting agendas for the Board; (v) approve Board meeting schedules to assure that there is sufficient time for discussion of all agenda items; (vi) establish guidelines for management with respect to the quality, quantity and timeliness of information sent to the Board; (vii) have the authority to call meetings of the non-employee directors; (viii) facilitate discussions among independent directors with respect to key issues or concerns of such directors between Board meetings; (ix) approve the retention of outside advisors and consultants who report directly to the Board on board-wide issues; and (x) if requested by major shareholders, ensure that he or she is available for consultation and direct communications with such shareholder.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26" w:name="page27"/>
    <w:bookmarkEnd w:id="26"/>
    <w:p>
      <w:pPr>
        <w:jc w:val="both"/>
        <w:spacing w:after="0" w:line="268" w:lineRule="auto"/>
        <w:rPr>
          <w:sz w:val="20"/>
          <w:szCs w:val="20"/>
          <w:color w:val="auto"/>
        </w:rPr>
      </w:pPr>
      <w:r>
        <w:rPr>
          <w:rFonts w:ascii="Arial" w:cs="Arial" w:eastAsia="Arial" w:hAnsi="Arial"/>
          <w:sz w:val="12"/>
          <w:szCs w:val="12"/>
          <w:color w:val="auto"/>
        </w:rPr>
        <w:t>The Board understands the importance of this leadership decision and thoroughly explored different structures and a wide range of considerations through an open-minded decision-making process. In reaching its decision to combine the roles under Mr. Nolan, the Board evaluated the best leadership structure for the Company in the context of its present circumstances, taking into account the Company's strategic needs over the next phase of its transformation, Mr. Nolan's leadership qualities, the independence of the Board, and the strength of the Lead Director role.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Criteria for Membership on Our Board of Directors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Director candidates should possess the highest personal and professional ethics, integrity and values; be committed to representing the long-term interests of our stakeholders; have an inquisitive and objective perspective, practical wisdom and mature judgment; and be willing to challenge management in a constructive manner. Our Board of Directors strives for membership that is diverse in gender, race, ethnicity, age, geographic location, and business skills and experience at policy-making levels.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Director Time Commitment and Other Board Service</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In addition, director candidates must be willing to devote sufficient time to carrying out their duties and responsibilities and should be committed to serving on our Board of Directors for an extended period of time. It is the policy of the Board that a non-employee director should not serve on the board of directors of more than four other publicly held corporations unless approved by the majority of the directors.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Procedure for Evaluating Director Nominees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Nominating and Corporate Governance Committee’s procedure for reviewing the qualifications of all nominees for membership on our Board of Directors includes making a preliminary assessment of each proposed nominee based upon resume and biographical information, willingness to serve and other background information, business experience and leadership skills. Our Board believes that its membership should reflect a diversity of experience, skills, geography, gender, race and ethnicity, and invites directors to annually self-identify certain diversity characteristics that may inform their perspectives and contributions to the Board. The Committee considers each of these factors when evaluating our Board composition, and it considers these factors on an ongoing basis as it identifies and evaluates director candidates. All director candidates who continue in the process are then interviewed by members of our Nominating and Corporate Governance Committee and other current directors. Our Nominating and Corporate Governance Committee makes recommendations to our Board of Directors for inclusion in the slate of director nominees at a meeting of shareholders, or for appointment by our Board of Directors to fill a vacancy. Prior to recommending a director to stand for re-election for another term, our Nominating and Corporate Governance Committee applies its director candidate selection criteria, including a director’s past contributions to our Board of Directors, effectiveness as a director, and desire to continue to serve as a director.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Refreshment and Retirement Policy</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Our Company has an active board refreshment program. As a mechanism to encourage director refreshment, our Board of Directors has established a policy that no individual may stand for election to our Board after their 72nd birthday, unless otherwise approved by a majority of our directors.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All of our directors have served on our Board six or more years.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Stock Ownership Guidelines for Non-Employee Directors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Board of Directors has established director stock ownership guidelines that encourage share ownership by our directors of four times an amount equal to the annual Board retainer to be achieved within five years of first being elected as a director. For fiscal 2026, the annual Board retainer was $75,000. In calculating share ownership of our non-employee directors, we include shares of restricted stock, restricted stock units and deferred restricted stock units issued pursuant to our 2009 Director Stock Plan, 2019 Director Stock Plan and phantom stock units issued pursuant to our prior Deferred Compensation Plan for Non-Employee Directors. Shares are valued based on the average closing price of our common stock for the most recently completed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fiscal year. As of February 27, 2026, the last trading day of fiscal 2026, all our non-employee directors exceeded our stock ownership guidelines.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Meetings and 2025 Annual Meeting of Shareholders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During fiscal 2026, our Board of Directors met eight times and our non-employee directors met in executive session without our Chief Executive Officer or any other members of management being present at each regular meeting. Each of our directors attended more than 75% of the regularly scheduled and special meetings of our Board of Directors and our Committees on which they served during fiscal 2026.</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All members of our Board of Directors are expected to attend our annual meeting of shareholders, and all members of our Board of Directors who continued to serve on our Board after our 2025 Annual Meeting of Shareholders attended such meeting via the virtual meeting platform.</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Committee Responsibilities, Meetings and Membership</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We currently have three standing Committees: Audit, Compensation, and Nominating and Corporate Governance. Each Committee operates under a written charter that is available on our website at </w:t>
      </w:r>
      <w:r>
        <w:rPr>
          <w:rFonts w:ascii="Arial" w:cs="Arial" w:eastAsia="Arial" w:hAnsi="Arial"/>
          <w:sz w:val="12"/>
          <w:szCs w:val="12"/>
          <w:color w:val="0000FF"/>
        </w:rPr>
        <w:t xml:space="preserve">www.apog.com </w:t>
      </w:r>
      <w:r>
        <w:rPr>
          <w:rFonts w:ascii="Arial" w:cs="Arial" w:eastAsia="Arial" w:hAnsi="Arial"/>
          <w:sz w:val="12"/>
          <w:szCs w:val="12"/>
          <w:color w:val="000000"/>
        </w:rPr>
        <w:t>by clicking on “Investors” and selecting “Governance” and then clicking on the applicable Board Committee. Each Committee member meets the applicable independence and experience</w:t>
      </w:r>
      <w:r>
        <w:rPr>
          <w:rFonts w:ascii="Arial" w:cs="Arial" w:eastAsia="Arial" w:hAnsi="Arial"/>
          <w:sz w:val="12"/>
          <w:szCs w:val="12"/>
          <w:color w:val="0000FF"/>
        </w:rPr>
        <w:t xml:space="preserve"> </w:t>
      </w:r>
      <w:r>
        <w:rPr>
          <w:rFonts w:ascii="Arial" w:cs="Arial" w:eastAsia="Arial" w:hAnsi="Arial"/>
          <w:sz w:val="12"/>
          <w:szCs w:val="12"/>
          <w:color w:val="000000"/>
        </w:rPr>
        <w:t>requirements of the Nasdaq listing standards and the SEC for the Committees on which they serve. While our Committees are responsible for various aspects of our environmental, social and governance sustainability program, currently our full Board oversees the Company's strategies and material initiatives relating to corporate responsibility, including cybersecurity and climate-related risk.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0"/>
        </w:trPr>
        <w:tc>
          <w:tcPr>
            <w:tcW w:w="2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05445E"/>
              </w:rPr>
              <w:t>Board Committee</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05445E"/>
              </w:rPr>
              <w:t>Responsibilities</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Arial" w:cs="Arial" w:eastAsia="Arial" w:hAnsi="Arial"/>
                <w:sz w:val="11"/>
                <w:szCs w:val="11"/>
                <w:b w:val="1"/>
                <w:bCs w:val="1"/>
                <w:color w:val="05445E"/>
              </w:rPr>
              <w:t>AUDIT COMMITTEE</w:t>
            </w:r>
          </w:p>
        </w:tc>
        <w:tc>
          <w:tcPr>
            <w:tcW w:w="5960" w:type="dxa"/>
            <w:vAlign w:val="bottom"/>
            <w:vMerge w:val="restart"/>
          </w:tcPr>
          <w:p>
            <w:pPr>
              <w:ind w:left="100"/>
              <w:spacing w:after="0"/>
              <w:rPr>
                <w:sz w:val="20"/>
                <w:szCs w:val="20"/>
                <w:color w:val="auto"/>
              </w:rPr>
            </w:pPr>
            <w:r>
              <w:rPr>
                <w:rFonts w:ascii="Arial" w:cs="Arial" w:eastAsia="Arial" w:hAnsi="Arial"/>
                <w:sz w:val="11"/>
                <w:szCs w:val="11"/>
                <w:color w:val="auto"/>
              </w:rPr>
              <w:t>•   Directly responsible for the appointment, compensation, retention, termination, evaluation and oversight of the work</w:t>
            </w:r>
          </w:p>
        </w:tc>
        <w:tc>
          <w:tcPr>
            <w:tcW w:w="0" w:type="dxa"/>
            <w:vAlign w:val="bottom"/>
          </w:tcPr>
          <w:p>
            <w:pPr>
              <w:spacing w:after="0"/>
              <w:rPr>
                <w:sz w:val="1"/>
                <w:szCs w:val="1"/>
                <w:color w:val="auto"/>
              </w:rPr>
            </w:pPr>
          </w:p>
        </w:tc>
      </w:tr>
      <w:tr>
        <w:trPr>
          <w:trHeight w:val="122"/>
        </w:trPr>
        <w:tc>
          <w:tcPr>
            <w:tcW w:w="2700" w:type="dxa"/>
            <w:vAlign w:val="bottom"/>
            <w:vMerge w:val="restart"/>
          </w:tcPr>
          <w:p>
            <w:pPr>
              <w:spacing w:after="0"/>
              <w:rPr>
                <w:sz w:val="20"/>
                <w:szCs w:val="20"/>
                <w:color w:val="auto"/>
              </w:rPr>
            </w:pPr>
            <w:r>
              <w:rPr>
                <w:rFonts w:ascii="Arial" w:cs="Arial" w:eastAsia="Arial" w:hAnsi="Arial"/>
                <w:sz w:val="11"/>
                <w:szCs w:val="11"/>
                <w:b w:val="1"/>
                <w:bCs w:val="1"/>
                <w:color w:val="auto"/>
              </w:rPr>
              <w:t>All Members Independent</w:t>
            </w:r>
          </w:p>
        </w:tc>
        <w:tc>
          <w:tcPr>
            <w:tcW w:w="5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700" w:type="dxa"/>
            <w:vAlign w:val="bottom"/>
            <w:vMerge w:val="continue"/>
          </w:tcPr>
          <w:p>
            <w:pPr>
              <w:spacing w:after="0"/>
              <w:rPr>
                <w:sz w:val="6"/>
                <w:szCs w:val="6"/>
                <w:color w:val="auto"/>
              </w:rPr>
            </w:pPr>
          </w:p>
        </w:tc>
        <w:tc>
          <w:tcPr>
            <w:tcW w:w="5960" w:type="dxa"/>
            <w:vAlign w:val="bottom"/>
            <w:vMerge w:val="restart"/>
          </w:tcPr>
          <w:p>
            <w:pPr>
              <w:ind w:left="320"/>
              <w:spacing w:after="0"/>
              <w:rPr>
                <w:sz w:val="20"/>
                <w:szCs w:val="20"/>
                <w:color w:val="auto"/>
              </w:rPr>
            </w:pPr>
            <w:r>
              <w:rPr>
                <w:rFonts w:ascii="Arial" w:cs="Arial" w:eastAsia="Arial" w:hAnsi="Arial"/>
                <w:sz w:val="11"/>
                <w:szCs w:val="11"/>
                <w:color w:val="auto"/>
              </w:rPr>
              <w:t>of, and ascertaining the independence of, the independent registered public accounting firm.</w:t>
            </w:r>
          </w:p>
        </w:tc>
        <w:tc>
          <w:tcPr>
            <w:tcW w:w="0" w:type="dxa"/>
            <w:vAlign w:val="bottom"/>
          </w:tcPr>
          <w:p>
            <w:pPr>
              <w:spacing w:after="0"/>
              <w:rPr>
                <w:sz w:val="1"/>
                <w:szCs w:val="1"/>
                <w:color w:val="auto"/>
              </w:rPr>
            </w:pPr>
          </w:p>
        </w:tc>
      </w:tr>
      <w:tr>
        <w:trPr>
          <w:trHeight w:val="66"/>
        </w:trPr>
        <w:tc>
          <w:tcPr>
            <w:tcW w:w="2700" w:type="dxa"/>
            <w:vAlign w:val="bottom"/>
            <w:vMerge w:val="restart"/>
          </w:tcPr>
          <w:p>
            <w:pPr>
              <w:spacing w:after="0"/>
              <w:rPr>
                <w:sz w:val="20"/>
                <w:szCs w:val="20"/>
                <w:color w:val="auto"/>
              </w:rPr>
            </w:pPr>
            <w:r>
              <w:rPr>
                <w:rFonts w:ascii="Arial" w:cs="Arial" w:eastAsia="Arial" w:hAnsi="Arial"/>
                <w:sz w:val="11"/>
                <w:szCs w:val="11"/>
                <w:color w:val="auto"/>
              </w:rPr>
              <w:t>This Committee has oversight responsibilities for our</w:t>
            </w:r>
          </w:p>
        </w:tc>
        <w:tc>
          <w:tcPr>
            <w:tcW w:w="5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700" w:type="dxa"/>
            <w:vAlign w:val="bottom"/>
            <w:vMerge w:val="continue"/>
          </w:tcPr>
          <w:p>
            <w:pPr>
              <w:spacing w:after="0"/>
              <w:rPr>
                <w:sz w:val="10"/>
                <w:szCs w:val="10"/>
                <w:color w:val="auto"/>
              </w:rPr>
            </w:pPr>
          </w:p>
        </w:tc>
        <w:tc>
          <w:tcPr>
            <w:tcW w:w="5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20"/>
                <w:szCs w:val="20"/>
                <w:color w:val="auto"/>
              </w:rPr>
            </w:pPr>
            <w:r>
              <w:rPr>
                <w:rFonts w:ascii="Arial" w:cs="Arial" w:eastAsia="Arial" w:hAnsi="Arial"/>
                <w:sz w:val="11"/>
                <w:szCs w:val="11"/>
                <w:color w:val="auto"/>
              </w:rPr>
              <w:t>independent registered public accounting firm.</w:t>
            </w:r>
          </w:p>
        </w:tc>
        <w:tc>
          <w:tcPr>
            <w:tcW w:w="5960" w:type="dxa"/>
            <w:vAlign w:val="bottom"/>
          </w:tcPr>
          <w:p>
            <w:pPr>
              <w:ind w:left="100"/>
              <w:spacing w:after="0"/>
              <w:rPr>
                <w:sz w:val="20"/>
                <w:szCs w:val="20"/>
                <w:color w:val="auto"/>
              </w:rPr>
            </w:pPr>
            <w:r>
              <w:rPr>
                <w:rFonts w:ascii="Arial" w:cs="Arial" w:eastAsia="Arial" w:hAnsi="Arial"/>
                <w:sz w:val="11"/>
                <w:szCs w:val="11"/>
                <w:color w:val="auto"/>
              </w:rPr>
              <w:t>•   Oversees our system of financial controls, internal audit procedures and internal audit function.</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20"/>
                <w:szCs w:val="20"/>
                <w:color w:val="auto"/>
              </w:rPr>
            </w:pPr>
            <w:r>
              <w:rPr>
                <w:rFonts w:ascii="Arial" w:cs="Arial" w:eastAsia="Arial" w:hAnsi="Arial"/>
                <w:sz w:val="11"/>
                <w:szCs w:val="11"/>
                <w:color w:val="auto"/>
              </w:rPr>
              <w:t>Messrs. L. Johnson and Pompa are “audit committee</w:t>
            </w:r>
          </w:p>
        </w:tc>
        <w:tc>
          <w:tcPr>
            <w:tcW w:w="5960" w:type="dxa"/>
            <w:vAlign w:val="bottom"/>
            <w:vMerge w:val="restart"/>
          </w:tcPr>
          <w:p>
            <w:pPr>
              <w:ind w:left="100"/>
              <w:spacing w:after="0"/>
              <w:rPr>
                <w:sz w:val="20"/>
                <w:szCs w:val="20"/>
                <w:color w:val="auto"/>
              </w:rPr>
            </w:pPr>
            <w:r>
              <w:rPr>
                <w:rFonts w:ascii="Arial" w:cs="Arial" w:eastAsia="Arial" w:hAnsi="Arial"/>
                <w:sz w:val="11"/>
                <w:szCs w:val="11"/>
                <w:color w:val="auto"/>
              </w:rPr>
              <w:t>•   Oversees our program to ensure compliance with legal and regulatory requirements and ethical business practices.</w:t>
            </w:r>
          </w:p>
        </w:tc>
        <w:tc>
          <w:tcPr>
            <w:tcW w:w="0" w:type="dxa"/>
            <w:vAlign w:val="bottom"/>
          </w:tcPr>
          <w:p>
            <w:pPr>
              <w:spacing w:after="0"/>
              <w:rPr>
                <w:sz w:val="1"/>
                <w:szCs w:val="1"/>
                <w:color w:val="auto"/>
              </w:rPr>
            </w:pPr>
          </w:p>
        </w:tc>
      </w:tr>
      <w:tr>
        <w:trPr>
          <w:trHeight w:val="97"/>
        </w:trPr>
        <w:tc>
          <w:tcPr>
            <w:tcW w:w="2700" w:type="dxa"/>
            <w:vAlign w:val="bottom"/>
            <w:vMerge w:val="restart"/>
          </w:tcPr>
          <w:p>
            <w:pPr>
              <w:spacing w:after="0"/>
              <w:rPr>
                <w:sz w:val="20"/>
                <w:szCs w:val="20"/>
                <w:color w:val="auto"/>
              </w:rPr>
            </w:pPr>
            <w:r>
              <w:rPr>
                <w:rFonts w:ascii="Arial" w:cs="Arial" w:eastAsia="Arial" w:hAnsi="Arial"/>
                <w:sz w:val="11"/>
                <w:szCs w:val="11"/>
                <w:color w:val="auto"/>
              </w:rPr>
              <w:t>financial experts” under the rules of the SEC.</w:t>
            </w:r>
          </w:p>
        </w:tc>
        <w:tc>
          <w:tcPr>
            <w:tcW w:w="5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5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Assesses and establishes policies and procedures to manage our financial reporting and internal control risk.</w:t>
            </w:r>
          </w:p>
        </w:tc>
        <w:tc>
          <w:tcPr>
            <w:tcW w:w="0" w:type="dxa"/>
            <w:vAlign w:val="bottom"/>
          </w:tcPr>
          <w:p>
            <w:pPr>
              <w:spacing w:after="0"/>
              <w:rPr>
                <w:sz w:val="1"/>
                <w:szCs w:val="1"/>
                <w:color w:val="auto"/>
              </w:rPr>
            </w:pPr>
          </w:p>
        </w:tc>
      </w:tr>
      <w:tr>
        <w:trPr>
          <w:trHeight w:val="254"/>
        </w:trPr>
        <w:tc>
          <w:tcPr>
            <w:tcW w:w="2700" w:type="dxa"/>
            <w:vAlign w:val="bottom"/>
          </w:tcPr>
          <w:p>
            <w:pPr>
              <w:spacing w:after="0"/>
              <w:rPr>
                <w:sz w:val="22"/>
                <w:szCs w:val="22"/>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Establishes policies and procedures for the pre-approval of all services by our independent registered public</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5960" w:type="dxa"/>
            <w:vAlign w:val="bottom"/>
          </w:tcPr>
          <w:p>
            <w:pPr>
              <w:ind w:left="320"/>
              <w:spacing w:after="0"/>
              <w:rPr>
                <w:sz w:val="20"/>
                <w:szCs w:val="20"/>
                <w:color w:val="auto"/>
              </w:rPr>
            </w:pPr>
            <w:r>
              <w:rPr>
                <w:rFonts w:ascii="Arial" w:cs="Arial" w:eastAsia="Arial" w:hAnsi="Arial"/>
                <w:sz w:val="11"/>
                <w:szCs w:val="11"/>
                <w:color w:val="auto"/>
              </w:rPr>
              <w:t>accounting firm.</w:t>
            </w: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Establishes procedures for the receipt, retention and treatment of complaints regarding accounting, internal controls</w:t>
            </w:r>
          </w:p>
        </w:tc>
        <w:tc>
          <w:tcPr>
            <w:tcW w:w="0" w:type="dxa"/>
            <w:vAlign w:val="bottom"/>
          </w:tcPr>
          <w:p>
            <w:pPr>
              <w:spacing w:after="0"/>
              <w:rPr>
                <w:sz w:val="1"/>
                <w:szCs w:val="1"/>
                <w:color w:val="auto"/>
              </w:rPr>
            </w:pPr>
          </w:p>
        </w:tc>
      </w:tr>
      <w:tr>
        <w:trPr>
          <w:trHeight w:val="151"/>
        </w:trPr>
        <w:tc>
          <w:tcPr>
            <w:tcW w:w="270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and auditing matters.</w:t>
            </w:r>
          </w:p>
        </w:tc>
        <w:tc>
          <w:tcPr>
            <w:tcW w:w="0" w:type="dxa"/>
            <w:vAlign w:val="bottom"/>
          </w:tcPr>
          <w:p>
            <w:pPr>
              <w:spacing w:after="0"/>
              <w:rPr>
                <w:sz w:val="1"/>
                <w:szCs w:val="1"/>
                <w:color w:val="auto"/>
              </w:rPr>
            </w:pPr>
          </w:p>
        </w:tc>
      </w:tr>
      <w:tr>
        <w:trPr>
          <w:trHeight w:val="198"/>
        </w:trPr>
        <w:tc>
          <w:tcPr>
            <w:tcW w:w="2700" w:type="dxa"/>
            <w:vAlign w:val="bottom"/>
          </w:tcPr>
          <w:p>
            <w:pPr>
              <w:spacing w:after="0"/>
              <w:rPr>
                <w:sz w:val="20"/>
                <w:szCs w:val="20"/>
                <w:color w:val="auto"/>
              </w:rPr>
            </w:pPr>
            <w:r>
              <w:rPr>
                <w:rFonts w:ascii="Arial" w:cs="Arial" w:eastAsia="Arial" w:hAnsi="Arial"/>
                <w:sz w:val="11"/>
                <w:szCs w:val="11"/>
                <w:b w:val="1"/>
                <w:bCs w:val="1"/>
                <w:color w:val="05445E"/>
              </w:rPr>
              <w:t>COMPENSATION</w:t>
            </w:r>
          </w:p>
        </w:tc>
        <w:tc>
          <w:tcPr>
            <w:tcW w:w="5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20"/>
                <w:szCs w:val="20"/>
                <w:color w:val="auto"/>
              </w:rPr>
            </w:pPr>
            <w:r>
              <w:rPr>
                <w:rFonts w:ascii="Arial" w:cs="Arial" w:eastAsia="Arial" w:hAnsi="Arial"/>
                <w:sz w:val="11"/>
                <w:szCs w:val="11"/>
                <w:b w:val="1"/>
                <w:bCs w:val="1"/>
                <w:color w:val="05445E"/>
              </w:rPr>
              <w:t>COMMITTEE</w:t>
            </w:r>
          </w:p>
        </w:tc>
        <w:tc>
          <w:tcPr>
            <w:tcW w:w="5960" w:type="dxa"/>
            <w:vAlign w:val="bottom"/>
          </w:tcPr>
          <w:p>
            <w:pPr>
              <w:ind w:left="100"/>
              <w:spacing w:after="0"/>
              <w:rPr>
                <w:sz w:val="20"/>
                <w:szCs w:val="20"/>
                <w:color w:val="auto"/>
              </w:rPr>
            </w:pPr>
            <w:r>
              <w:rPr>
                <w:rFonts w:ascii="Arial" w:cs="Arial" w:eastAsia="Arial" w:hAnsi="Arial"/>
                <w:sz w:val="11"/>
                <w:szCs w:val="11"/>
                <w:color w:val="auto"/>
              </w:rPr>
              <w:t>•   Establishes our executive compensation philosophy and compensation programs that comply with this philosophy.</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20"/>
                <w:szCs w:val="20"/>
                <w:color w:val="auto"/>
              </w:rPr>
            </w:pPr>
            <w:r>
              <w:rPr>
                <w:rFonts w:ascii="Arial" w:cs="Arial" w:eastAsia="Arial" w:hAnsi="Arial"/>
                <w:sz w:val="11"/>
                <w:szCs w:val="11"/>
                <w:b w:val="1"/>
                <w:bCs w:val="1"/>
                <w:color w:val="auto"/>
              </w:rPr>
              <w:t>All Members Independent</w:t>
            </w:r>
          </w:p>
        </w:tc>
        <w:tc>
          <w:tcPr>
            <w:tcW w:w="5960" w:type="dxa"/>
            <w:vAlign w:val="bottom"/>
            <w:vMerge w:val="restart"/>
          </w:tcPr>
          <w:p>
            <w:pPr>
              <w:ind w:left="100"/>
              <w:spacing w:after="0"/>
              <w:rPr>
                <w:sz w:val="20"/>
                <w:szCs w:val="20"/>
                <w:color w:val="auto"/>
              </w:rPr>
            </w:pPr>
            <w:r>
              <w:rPr>
                <w:rFonts w:ascii="Arial" w:cs="Arial" w:eastAsia="Arial" w:hAnsi="Arial"/>
                <w:sz w:val="11"/>
                <w:szCs w:val="11"/>
                <w:color w:val="auto"/>
                <w:w w:val="99"/>
              </w:rPr>
              <w:t>•   Evaluates the Chief Executive Officer’s performance in light of approved goals and objectives and recommends to the</w:t>
            </w:r>
          </w:p>
        </w:tc>
        <w:tc>
          <w:tcPr>
            <w:tcW w:w="0" w:type="dxa"/>
            <w:vAlign w:val="bottom"/>
          </w:tcPr>
          <w:p>
            <w:pPr>
              <w:spacing w:after="0"/>
              <w:rPr>
                <w:sz w:val="1"/>
                <w:szCs w:val="1"/>
                <w:color w:val="auto"/>
              </w:rPr>
            </w:pPr>
          </w:p>
        </w:tc>
      </w:tr>
      <w:tr>
        <w:trPr>
          <w:trHeight w:val="68"/>
        </w:trPr>
        <w:tc>
          <w:tcPr>
            <w:tcW w:w="2700" w:type="dxa"/>
            <w:vAlign w:val="bottom"/>
            <w:vMerge w:val="restart"/>
          </w:tcPr>
          <w:p>
            <w:pPr>
              <w:spacing w:after="0"/>
              <w:rPr>
                <w:sz w:val="20"/>
                <w:szCs w:val="20"/>
                <w:color w:val="auto"/>
              </w:rPr>
            </w:pPr>
            <w:r>
              <w:rPr>
                <w:rFonts w:ascii="Arial" w:cs="Arial" w:eastAsia="Arial" w:hAnsi="Arial"/>
                <w:sz w:val="11"/>
                <w:szCs w:val="11"/>
                <w:color w:val="auto"/>
              </w:rPr>
              <w:t>This Committee administers our executive</w:t>
            </w:r>
          </w:p>
        </w:tc>
        <w:tc>
          <w:tcPr>
            <w:tcW w:w="5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700" w:type="dxa"/>
            <w:vAlign w:val="bottom"/>
            <w:vMerge w:val="continue"/>
          </w:tcPr>
          <w:p>
            <w:pPr>
              <w:spacing w:after="0"/>
              <w:rPr>
                <w:sz w:val="10"/>
                <w:szCs w:val="10"/>
                <w:color w:val="auto"/>
              </w:rPr>
            </w:pPr>
          </w:p>
        </w:tc>
        <w:tc>
          <w:tcPr>
            <w:tcW w:w="5960" w:type="dxa"/>
            <w:vAlign w:val="bottom"/>
          </w:tcPr>
          <w:p>
            <w:pPr>
              <w:ind w:left="320"/>
              <w:spacing w:after="0" w:line="117" w:lineRule="exact"/>
              <w:rPr>
                <w:sz w:val="20"/>
                <w:szCs w:val="20"/>
                <w:color w:val="auto"/>
              </w:rPr>
            </w:pPr>
            <w:r>
              <w:rPr>
                <w:rFonts w:ascii="Arial" w:cs="Arial" w:eastAsia="Arial" w:hAnsi="Arial"/>
                <w:sz w:val="11"/>
                <w:szCs w:val="11"/>
                <w:color w:val="auto"/>
              </w:rPr>
              <w:t>Board for its approval the Chief Executive Officer’s compensation, including base salary, short-term incentive</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20"/>
                <w:szCs w:val="20"/>
                <w:color w:val="auto"/>
              </w:rPr>
            </w:pPr>
            <w:r>
              <w:rPr>
                <w:rFonts w:ascii="Arial" w:cs="Arial" w:eastAsia="Arial" w:hAnsi="Arial"/>
                <w:sz w:val="11"/>
                <w:szCs w:val="11"/>
                <w:color w:val="auto"/>
              </w:rPr>
              <w:t>compensation program.</w:t>
            </w:r>
          </w:p>
        </w:tc>
        <w:tc>
          <w:tcPr>
            <w:tcW w:w="5960" w:type="dxa"/>
            <w:vAlign w:val="bottom"/>
          </w:tcPr>
          <w:p>
            <w:pPr>
              <w:ind w:left="320"/>
              <w:spacing w:after="0"/>
              <w:rPr>
                <w:sz w:val="20"/>
                <w:szCs w:val="20"/>
                <w:color w:val="auto"/>
              </w:rPr>
            </w:pPr>
            <w:r>
              <w:rPr>
                <w:rFonts w:ascii="Arial" w:cs="Arial" w:eastAsia="Arial" w:hAnsi="Arial"/>
                <w:sz w:val="11"/>
                <w:szCs w:val="11"/>
                <w:color w:val="auto"/>
              </w:rPr>
              <w:t>compensation and long-term incentive compensation.</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20"/>
                <w:szCs w:val="20"/>
                <w:color w:val="auto"/>
              </w:rPr>
            </w:pPr>
            <w:r>
              <w:rPr>
                <w:rFonts w:ascii="Arial" w:cs="Arial" w:eastAsia="Arial" w:hAnsi="Arial"/>
                <w:sz w:val="11"/>
                <w:szCs w:val="11"/>
                <w:color w:val="auto"/>
              </w:rPr>
              <w:t>Each member is a “non-employee” director, as defined</w:t>
            </w:r>
          </w:p>
        </w:tc>
        <w:tc>
          <w:tcPr>
            <w:tcW w:w="5960" w:type="dxa"/>
            <w:vAlign w:val="bottom"/>
            <w:vMerge w:val="restart"/>
          </w:tcPr>
          <w:p>
            <w:pPr>
              <w:ind w:left="100"/>
              <w:spacing w:after="0"/>
              <w:rPr>
                <w:sz w:val="20"/>
                <w:szCs w:val="20"/>
                <w:color w:val="auto"/>
              </w:rPr>
            </w:pPr>
            <w:r>
              <w:rPr>
                <w:rFonts w:ascii="Arial" w:cs="Arial" w:eastAsia="Arial" w:hAnsi="Arial"/>
                <w:sz w:val="11"/>
                <w:szCs w:val="11"/>
                <w:color w:val="auto"/>
              </w:rPr>
              <w:t>•   Determines the compensation of our executive officers (other than the Chief Executive Officer) and other members of</w:t>
            </w:r>
          </w:p>
        </w:tc>
        <w:tc>
          <w:tcPr>
            <w:tcW w:w="0" w:type="dxa"/>
            <w:vAlign w:val="bottom"/>
          </w:tcPr>
          <w:p>
            <w:pPr>
              <w:spacing w:after="0"/>
              <w:rPr>
                <w:sz w:val="1"/>
                <w:szCs w:val="1"/>
                <w:color w:val="auto"/>
              </w:rPr>
            </w:pPr>
          </w:p>
        </w:tc>
      </w:tr>
      <w:tr>
        <w:trPr>
          <w:trHeight w:val="90"/>
        </w:trPr>
        <w:tc>
          <w:tcPr>
            <w:tcW w:w="2700" w:type="dxa"/>
            <w:vAlign w:val="bottom"/>
            <w:vMerge w:val="restart"/>
          </w:tcPr>
          <w:p>
            <w:pPr>
              <w:spacing w:after="0"/>
              <w:rPr>
                <w:sz w:val="20"/>
                <w:szCs w:val="20"/>
                <w:color w:val="auto"/>
              </w:rPr>
            </w:pPr>
            <w:r>
              <w:rPr>
                <w:rFonts w:ascii="Arial" w:cs="Arial" w:eastAsia="Arial" w:hAnsi="Arial"/>
                <w:sz w:val="11"/>
                <w:szCs w:val="11"/>
                <w:color w:val="auto"/>
              </w:rPr>
              <w:t>in the Exchange Act.</w:t>
            </w: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700" w:type="dxa"/>
            <w:vAlign w:val="bottom"/>
            <w:vMerge w:val="continue"/>
          </w:tcPr>
          <w:p>
            <w:pPr>
              <w:spacing w:after="0"/>
              <w:rPr>
                <w:sz w:val="4"/>
                <w:szCs w:val="4"/>
                <w:color w:val="auto"/>
              </w:rPr>
            </w:pPr>
          </w:p>
        </w:tc>
        <w:tc>
          <w:tcPr>
            <w:tcW w:w="5960" w:type="dxa"/>
            <w:vAlign w:val="bottom"/>
            <w:vMerge w:val="restart"/>
          </w:tcPr>
          <w:p>
            <w:pPr>
              <w:ind w:left="320"/>
              <w:spacing w:after="0"/>
              <w:rPr>
                <w:sz w:val="20"/>
                <w:szCs w:val="20"/>
                <w:color w:val="auto"/>
              </w:rPr>
            </w:pPr>
            <w:r>
              <w:rPr>
                <w:rFonts w:ascii="Arial" w:cs="Arial" w:eastAsia="Arial" w:hAnsi="Arial"/>
                <w:sz w:val="11"/>
                <w:szCs w:val="11"/>
                <w:color w:val="auto"/>
              </w:rPr>
              <w:t>senior management.</w:t>
            </w:r>
          </w:p>
        </w:tc>
        <w:tc>
          <w:tcPr>
            <w:tcW w:w="0" w:type="dxa"/>
            <w:vAlign w:val="bottom"/>
          </w:tcPr>
          <w:p>
            <w:pPr>
              <w:spacing w:after="0"/>
              <w:rPr>
                <w:sz w:val="1"/>
                <w:szCs w:val="1"/>
                <w:color w:val="auto"/>
              </w:rPr>
            </w:pPr>
          </w:p>
        </w:tc>
      </w:tr>
      <w:tr>
        <w:trPr>
          <w:trHeight w:val="90"/>
        </w:trPr>
        <w:tc>
          <w:tcPr>
            <w:tcW w:w="2700" w:type="dxa"/>
            <w:vAlign w:val="bottom"/>
          </w:tcPr>
          <w:p>
            <w:pPr>
              <w:spacing w:after="0"/>
              <w:rPr>
                <w:sz w:val="7"/>
                <w:szCs w:val="7"/>
                <w:color w:val="auto"/>
              </w:rPr>
            </w:pP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3"/>
                <w:szCs w:val="23"/>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Responsible for annual assessment of the risk associated with our compensation programs, policies and practices.</w:t>
            </w:r>
          </w:p>
        </w:tc>
        <w:tc>
          <w:tcPr>
            <w:tcW w:w="0" w:type="dxa"/>
            <w:vAlign w:val="bottom"/>
          </w:tcPr>
          <w:p>
            <w:pPr>
              <w:spacing w:after="0"/>
              <w:rPr>
                <w:sz w:val="1"/>
                <w:szCs w:val="1"/>
                <w:color w:val="auto"/>
              </w:rPr>
            </w:pPr>
          </w:p>
        </w:tc>
      </w:tr>
      <w:tr>
        <w:trPr>
          <w:trHeight w:val="279"/>
        </w:trPr>
        <w:tc>
          <w:tcPr>
            <w:tcW w:w="270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Administers our 2019 Stock Incentive Plan in which our employees participate.</w:t>
            </w: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Administers our short-term cash and long-term incentive plans for executive officers and other members of senior</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5960" w:type="dxa"/>
            <w:vAlign w:val="bottom"/>
          </w:tcPr>
          <w:p>
            <w:pPr>
              <w:ind w:left="320"/>
              <w:spacing w:after="0"/>
              <w:rPr>
                <w:sz w:val="20"/>
                <w:szCs w:val="20"/>
                <w:color w:val="auto"/>
              </w:rPr>
            </w:pPr>
            <w:r>
              <w:rPr>
                <w:rFonts w:ascii="Arial" w:cs="Arial" w:eastAsia="Arial" w:hAnsi="Arial"/>
                <w:sz w:val="11"/>
                <w:szCs w:val="11"/>
                <w:color w:val="auto"/>
              </w:rPr>
              <w:t>management.</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3"/>
                <w:szCs w:val="23"/>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Administers our clawback policies.</w:t>
            </w: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Directly responsible for the appointment, compensation, retention and oversight of the independent compensation</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5960" w:type="dxa"/>
            <w:vAlign w:val="bottom"/>
          </w:tcPr>
          <w:p>
            <w:pPr>
              <w:ind w:left="320"/>
              <w:spacing w:after="0"/>
              <w:rPr>
                <w:sz w:val="20"/>
                <w:szCs w:val="20"/>
                <w:color w:val="auto"/>
              </w:rPr>
            </w:pPr>
            <w:r>
              <w:rPr>
                <w:rFonts w:ascii="Arial" w:cs="Arial" w:eastAsia="Arial" w:hAnsi="Arial"/>
                <w:sz w:val="11"/>
                <w:szCs w:val="11"/>
                <w:color w:val="auto"/>
              </w:rPr>
              <w:t>consultant.</w:t>
            </w:r>
          </w:p>
        </w:tc>
        <w:tc>
          <w:tcPr>
            <w:tcW w:w="0" w:type="dxa"/>
            <w:vAlign w:val="bottom"/>
          </w:tcPr>
          <w:p>
            <w:pPr>
              <w:spacing w:after="0"/>
              <w:rPr>
                <w:sz w:val="1"/>
                <w:szCs w:val="1"/>
                <w:color w:val="auto"/>
              </w:rPr>
            </w:pPr>
          </w:p>
        </w:tc>
      </w:tr>
      <w:tr>
        <w:trPr>
          <w:trHeight w:val="254"/>
        </w:trPr>
        <w:tc>
          <w:tcPr>
            <w:tcW w:w="2700" w:type="dxa"/>
            <w:vAlign w:val="bottom"/>
          </w:tcPr>
          <w:p>
            <w:pPr>
              <w:spacing w:after="0"/>
              <w:rPr>
                <w:sz w:val="22"/>
                <w:szCs w:val="22"/>
                <w:color w:val="auto"/>
              </w:rPr>
            </w:pPr>
          </w:p>
        </w:tc>
        <w:tc>
          <w:tcPr>
            <w:tcW w:w="5960" w:type="dxa"/>
            <w:vAlign w:val="bottom"/>
          </w:tcPr>
          <w:p>
            <w:pPr>
              <w:ind w:left="100"/>
              <w:spacing w:after="0"/>
              <w:rPr>
                <w:sz w:val="20"/>
                <w:szCs w:val="20"/>
                <w:color w:val="auto"/>
              </w:rPr>
            </w:pPr>
            <w:r>
              <w:rPr>
                <w:rFonts w:ascii="Arial" w:cs="Arial" w:eastAsia="Arial" w:hAnsi="Arial"/>
                <w:sz w:val="11"/>
                <w:szCs w:val="11"/>
                <w:color w:val="auto"/>
              </w:rPr>
              <w:t>•   Reviews and reports to the Board on the Company's initiatives with respect to, and the risks associated with, human</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5960" w:type="dxa"/>
            <w:vAlign w:val="bottom"/>
          </w:tcPr>
          <w:p>
            <w:pPr>
              <w:ind w:left="320"/>
              <w:spacing w:after="0"/>
              <w:rPr>
                <w:sz w:val="20"/>
                <w:szCs w:val="20"/>
                <w:color w:val="auto"/>
              </w:rPr>
            </w:pPr>
            <w:r>
              <w:rPr>
                <w:rFonts w:ascii="Arial" w:cs="Arial" w:eastAsia="Arial" w:hAnsi="Arial"/>
                <w:sz w:val="11"/>
                <w:szCs w:val="11"/>
                <w:color w:val="auto"/>
              </w:rPr>
              <w:t>capital management matters.</w:t>
            </w:r>
          </w:p>
        </w:tc>
        <w:tc>
          <w:tcPr>
            <w:tcW w:w="0" w:type="dxa"/>
            <w:vAlign w:val="bottom"/>
          </w:tcPr>
          <w:p>
            <w:pPr>
              <w:spacing w:after="0"/>
              <w:rPr>
                <w:sz w:val="1"/>
                <w:szCs w:val="1"/>
                <w:color w:val="auto"/>
              </w:rPr>
            </w:pPr>
          </w:p>
        </w:tc>
      </w:tr>
      <w:tr>
        <w:trPr>
          <w:trHeight w:val="326"/>
        </w:trPr>
        <w:tc>
          <w:tcPr>
            <w:tcW w:w="27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013"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8"/>
        </w:trPr>
        <w:tc>
          <w:tcPr>
            <w:tcW w:w="2640" w:type="dxa"/>
            <w:vAlign w:val="bottom"/>
          </w:tcPr>
          <w:p>
            <w:pPr>
              <w:spacing w:after="0"/>
              <w:rPr>
                <w:sz w:val="20"/>
                <w:szCs w:val="20"/>
                <w:color w:val="auto"/>
              </w:rPr>
            </w:pPr>
            <w:r>
              <w:rPr>
                <w:rFonts w:ascii="Arial" w:cs="Arial" w:eastAsia="Arial" w:hAnsi="Arial"/>
                <w:sz w:val="11"/>
                <w:szCs w:val="11"/>
                <w:b w:val="1"/>
                <w:bCs w:val="1"/>
                <w:color w:val="05445E"/>
              </w:rPr>
              <w:t>Board Committee</w:t>
            </w:r>
          </w:p>
        </w:tc>
        <w:tc>
          <w:tcPr>
            <w:tcW w:w="6020" w:type="dxa"/>
            <w:vAlign w:val="bottom"/>
          </w:tcPr>
          <w:p>
            <w:pPr>
              <w:ind w:left="160"/>
              <w:spacing w:after="0"/>
              <w:rPr>
                <w:sz w:val="20"/>
                <w:szCs w:val="20"/>
                <w:color w:val="auto"/>
              </w:rPr>
            </w:pPr>
            <w:r>
              <w:rPr>
                <w:rFonts w:ascii="Arial" w:cs="Arial" w:eastAsia="Arial" w:hAnsi="Arial"/>
                <w:sz w:val="11"/>
                <w:szCs w:val="11"/>
                <w:b w:val="1"/>
                <w:bCs w:val="1"/>
                <w:color w:val="05445E"/>
              </w:rPr>
              <w:t>Responsibilities</w:t>
            </w:r>
          </w:p>
        </w:tc>
        <w:tc>
          <w:tcPr>
            <w:tcW w:w="0" w:type="dxa"/>
            <w:vAlign w:val="bottom"/>
          </w:tcPr>
          <w:p>
            <w:pPr>
              <w:spacing w:after="0"/>
              <w:rPr>
                <w:sz w:val="1"/>
                <w:szCs w:val="1"/>
                <w:color w:val="auto"/>
              </w:rPr>
            </w:pPr>
          </w:p>
        </w:tc>
      </w:tr>
      <w:tr>
        <w:trPr>
          <w:trHeight w:val="41"/>
        </w:trPr>
        <w:tc>
          <w:tcPr>
            <w:tcW w:w="2640" w:type="dxa"/>
            <w:vAlign w:val="bottom"/>
            <w:tcBorders>
              <w:bottom w:val="single" w:sz="8" w:color="494949"/>
            </w:tcBorders>
          </w:tcPr>
          <w:p>
            <w:pPr>
              <w:spacing w:after="0"/>
              <w:rPr>
                <w:sz w:val="3"/>
                <w:szCs w:val="3"/>
                <w:color w:val="auto"/>
              </w:rPr>
            </w:pPr>
          </w:p>
        </w:tc>
        <w:tc>
          <w:tcPr>
            <w:tcW w:w="6020" w:type="dxa"/>
            <w:vAlign w:val="bottom"/>
            <w:tcBorders>
              <w:bottom w:val="single" w:sz="8" w:color="494949"/>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20"/>
                <w:szCs w:val="20"/>
                <w:color w:val="auto"/>
              </w:rPr>
            </w:pPr>
            <w:r>
              <w:rPr>
                <w:rFonts w:ascii="Arial" w:cs="Arial" w:eastAsia="Arial" w:hAnsi="Arial"/>
                <w:sz w:val="11"/>
                <w:szCs w:val="11"/>
                <w:b w:val="1"/>
                <w:bCs w:val="1"/>
                <w:color w:val="05445E"/>
              </w:rPr>
              <w:t>NOMINATING AND</w:t>
            </w:r>
          </w:p>
        </w:tc>
        <w:tc>
          <w:tcPr>
            <w:tcW w:w="6020" w:type="dxa"/>
            <w:vAlign w:val="bottom"/>
            <w:vMerge w:val="restart"/>
          </w:tcPr>
          <w:p>
            <w:pPr>
              <w:ind w:left="160"/>
              <w:spacing w:after="0"/>
              <w:rPr>
                <w:sz w:val="20"/>
                <w:szCs w:val="20"/>
                <w:color w:val="auto"/>
              </w:rPr>
            </w:pPr>
            <w:r>
              <w:rPr>
                <w:rFonts w:ascii="Arial" w:cs="Arial" w:eastAsia="Arial" w:hAnsi="Arial"/>
                <w:sz w:val="11"/>
                <w:szCs w:val="11"/>
                <w:color w:val="auto"/>
              </w:rPr>
              <w:t>•   Develops a Board succession plan and establishes and implements procedures to review the qualifications for</w:t>
            </w:r>
          </w:p>
        </w:tc>
        <w:tc>
          <w:tcPr>
            <w:tcW w:w="0" w:type="dxa"/>
            <w:vAlign w:val="bottom"/>
          </w:tcPr>
          <w:p>
            <w:pPr>
              <w:spacing w:after="0"/>
              <w:rPr>
                <w:sz w:val="1"/>
                <w:szCs w:val="1"/>
                <w:color w:val="auto"/>
              </w:rPr>
            </w:pPr>
          </w:p>
        </w:tc>
      </w:tr>
      <w:tr>
        <w:trPr>
          <w:trHeight w:val="108"/>
        </w:trPr>
        <w:tc>
          <w:tcPr>
            <w:tcW w:w="2640" w:type="dxa"/>
            <w:vAlign w:val="bottom"/>
          </w:tcPr>
          <w:p>
            <w:pPr>
              <w:spacing w:after="0" w:line="108" w:lineRule="exact"/>
              <w:rPr>
                <w:sz w:val="20"/>
                <w:szCs w:val="20"/>
                <w:color w:val="auto"/>
              </w:rPr>
            </w:pPr>
            <w:r>
              <w:rPr>
                <w:rFonts w:ascii="Arial" w:cs="Arial" w:eastAsia="Arial" w:hAnsi="Arial"/>
                <w:sz w:val="11"/>
                <w:szCs w:val="11"/>
                <w:b w:val="1"/>
                <w:bCs w:val="1"/>
                <w:color w:val="05445E"/>
              </w:rPr>
              <w:t>CORPORATE</w:t>
            </w:r>
          </w:p>
        </w:tc>
        <w:tc>
          <w:tcPr>
            <w:tcW w:w="6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1"/>
                <w:szCs w:val="11"/>
                <w:b w:val="1"/>
                <w:bCs w:val="1"/>
                <w:color w:val="05445E"/>
              </w:rPr>
              <w:t>GOVERNANCE COMMITTEE</w:t>
            </w:r>
          </w:p>
        </w:tc>
        <w:tc>
          <w:tcPr>
            <w:tcW w:w="6020" w:type="dxa"/>
            <w:vAlign w:val="bottom"/>
          </w:tcPr>
          <w:p>
            <w:pPr>
              <w:ind w:left="380"/>
              <w:spacing w:after="0"/>
              <w:rPr>
                <w:sz w:val="20"/>
                <w:szCs w:val="20"/>
                <w:color w:val="auto"/>
              </w:rPr>
            </w:pPr>
            <w:r>
              <w:rPr>
                <w:rFonts w:ascii="Arial" w:cs="Arial" w:eastAsia="Arial" w:hAnsi="Arial"/>
                <w:sz w:val="11"/>
                <w:szCs w:val="11"/>
                <w:color w:val="auto"/>
              </w:rPr>
              <w:t>membership on our Board of Directors, including nominees recommended by shareholders.</w:t>
            </w:r>
          </w:p>
        </w:tc>
        <w:tc>
          <w:tcPr>
            <w:tcW w:w="0" w:type="dxa"/>
            <w:vAlign w:val="bottom"/>
          </w:tcPr>
          <w:p>
            <w:pPr>
              <w:spacing w:after="0"/>
              <w:rPr>
                <w:sz w:val="1"/>
                <w:szCs w:val="1"/>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1"/>
                <w:szCs w:val="11"/>
                <w:b w:val="1"/>
                <w:bCs w:val="1"/>
                <w:color w:val="auto"/>
              </w:rPr>
              <w:t>All Members Independent</w:t>
            </w:r>
          </w:p>
        </w:tc>
        <w:tc>
          <w:tcPr>
            <w:tcW w:w="6020" w:type="dxa"/>
            <w:vAlign w:val="bottom"/>
            <w:vMerge w:val="restart"/>
          </w:tcPr>
          <w:p>
            <w:pPr>
              <w:ind w:left="160"/>
              <w:spacing w:after="0"/>
              <w:rPr>
                <w:sz w:val="20"/>
                <w:szCs w:val="20"/>
                <w:color w:val="auto"/>
              </w:rPr>
            </w:pPr>
            <w:r>
              <w:rPr>
                <w:rFonts w:ascii="Arial" w:cs="Arial" w:eastAsia="Arial" w:hAnsi="Arial"/>
                <w:sz w:val="11"/>
                <w:szCs w:val="11"/>
                <w:color w:val="auto"/>
              </w:rPr>
              <w:t>•   Assesses our compliance with our Corporate Governance Guidelines.</w:t>
            </w:r>
          </w:p>
        </w:tc>
        <w:tc>
          <w:tcPr>
            <w:tcW w:w="0" w:type="dxa"/>
            <w:vAlign w:val="bottom"/>
          </w:tcPr>
          <w:p>
            <w:pPr>
              <w:spacing w:after="0"/>
              <w:rPr>
                <w:sz w:val="1"/>
                <w:szCs w:val="1"/>
                <w:color w:val="auto"/>
              </w:rPr>
            </w:pPr>
          </w:p>
        </w:tc>
      </w:tr>
      <w:tr>
        <w:trPr>
          <w:trHeight w:val="48"/>
        </w:trPr>
        <w:tc>
          <w:tcPr>
            <w:tcW w:w="2640" w:type="dxa"/>
            <w:vAlign w:val="bottom"/>
          </w:tcPr>
          <w:p>
            <w:pPr>
              <w:spacing w:after="0"/>
              <w:rPr>
                <w:sz w:val="4"/>
                <w:szCs w:val="4"/>
                <w:color w:val="auto"/>
              </w:rPr>
            </w:pPr>
          </w:p>
        </w:tc>
        <w:tc>
          <w:tcPr>
            <w:tcW w:w="6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20"/>
                <w:szCs w:val="20"/>
                <w:color w:val="auto"/>
              </w:rPr>
            </w:pPr>
            <w:r>
              <w:rPr>
                <w:rFonts w:ascii="Arial" w:cs="Arial" w:eastAsia="Arial" w:hAnsi="Arial"/>
                <w:sz w:val="11"/>
                <w:szCs w:val="11"/>
                <w:color w:val="auto"/>
              </w:rPr>
              <w:t>This Committee identifies and evaluates Board</w:t>
            </w:r>
          </w:p>
        </w:tc>
        <w:tc>
          <w:tcPr>
            <w:tcW w:w="6020" w:type="dxa"/>
            <w:vAlign w:val="bottom"/>
            <w:vMerge w:val="restart"/>
          </w:tcPr>
          <w:p>
            <w:pPr>
              <w:ind w:left="160"/>
              <w:spacing w:after="0"/>
              <w:rPr>
                <w:sz w:val="20"/>
                <w:szCs w:val="20"/>
                <w:color w:val="auto"/>
              </w:rPr>
            </w:pPr>
            <w:r>
              <w:rPr>
                <w:rFonts w:ascii="Arial" w:cs="Arial" w:eastAsia="Arial" w:hAnsi="Arial"/>
                <w:sz w:val="11"/>
                <w:szCs w:val="11"/>
                <w:color w:val="auto"/>
              </w:rPr>
              <w:t>•   Reviews our organizational structure and senior management succession plans.</w:t>
            </w:r>
          </w:p>
        </w:tc>
        <w:tc>
          <w:tcPr>
            <w:tcW w:w="0" w:type="dxa"/>
            <w:vAlign w:val="bottom"/>
          </w:tcPr>
          <w:p>
            <w:pPr>
              <w:spacing w:after="0"/>
              <w:rPr>
                <w:sz w:val="1"/>
                <w:szCs w:val="1"/>
                <w:color w:val="auto"/>
              </w:rPr>
            </w:pPr>
          </w:p>
        </w:tc>
      </w:tr>
      <w:tr>
        <w:trPr>
          <w:trHeight w:val="126"/>
        </w:trPr>
        <w:tc>
          <w:tcPr>
            <w:tcW w:w="2640" w:type="dxa"/>
            <w:vAlign w:val="bottom"/>
          </w:tcPr>
          <w:p>
            <w:pPr>
              <w:spacing w:after="0"/>
              <w:rPr>
                <w:sz w:val="20"/>
                <w:szCs w:val="20"/>
                <w:color w:val="auto"/>
              </w:rPr>
            </w:pPr>
            <w:r>
              <w:rPr>
                <w:rFonts w:ascii="Arial" w:cs="Arial" w:eastAsia="Arial" w:hAnsi="Arial"/>
                <w:sz w:val="11"/>
                <w:szCs w:val="11"/>
                <w:color w:val="auto"/>
              </w:rPr>
              <w:t>candidates and oversees our corporate governance</w:t>
            </w:r>
          </w:p>
        </w:tc>
        <w:tc>
          <w:tcPr>
            <w:tcW w:w="6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20"/>
                <w:szCs w:val="20"/>
                <w:color w:val="auto"/>
              </w:rPr>
            </w:pPr>
            <w:r>
              <w:rPr>
                <w:rFonts w:ascii="Arial" w:cs="Arial" w:eastAsia="Arial" w:hAnsi="Arial"/>
                <w:sz w:val="11"/>
                <w:szCs w:val="11"/>
                <w:color w:val="auto"/>
              </w:rPr>
              <w:t>practices.</w:t>
            </w: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6020" w:type="dxa"/>
            <w:vAlign w:val="bottom"/>
          </w:tcPr>
          <w:p>
            <w:pPr>
              <w:ind w:left="160"/>
              <w:spacing w:after="0"/>
              <w:rPr>
                <w:sz w:val="20"/>
                <w:szCs w:val="20"/>
                <w:color w:val="auto"/>
              </w:rPr>
            </w:pPr>
            <w:r>
              <w:rPr>
                <w:rFonts w:ascii="Arial" w:cs="Arial" w:eastAsia="Arial" w:hAnsi="Arial"/>
                <w:sz w:val="11"/>
                <w:szCs w:val="11"/>
                <w:color w:val="auto"/>
              </w:rPr>
              <w:t>•   Makes recommendations to our Board of Directors regarding the composition and responsibilities of our Committees</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020" w:type="dxa"/>
            <w:vAlign w:val="bottom"/>
          </w:tcPr>
          <w:p>
            <w:pPr>
              <w:ind w:left="380"/>
              <w:spacing w:after="0"/>
              <w:rPr>
                <w:sz w:val="20"/>
                <w:szCs w:val="20"/>
                <w:color w:val="auto"/>
              </w:rPr>
            </w:pPr>
            <w:r>
              <w:rPr>
                <w:rFonts w:ascii="Arial" w:cs="Arial" w:eastAsia="Arial" w:hAnsi="Arial"/>
                <w:sz w:val="11"/>
                <w:szCs w:val="11"/>
                <w:color w:val="auto"/>
              </w:rPr>
              <w:t>and compensation for directors.</w:t>
            </w: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2"/>
                <w:szCs w:val="22"/>
                <w:color w:val="auto"/>
              </w:rPr>
            </w:pPr>
          </w:p>
        </w:tc>
        <w:tc>
          <w:tcPr>
            <w:tcW w:w="6020" w:type="dxa"/>
            <w:vAlign w:val="bottom"/>
          </w:tcPr>
          <w:p>
            <w:pPr>
              <w:ind w:left="160"/>
              <w:spacing w:after="0"/>
              <w:rPr>
                <w:sz w:val="20"/>
                <w:szCs w:val="20"/>
                <w:color w:val="auto"/>
              </w:rPr>
            </w:pPr>
            <w:r>
              <w:rPr>
                <w:rFonts w:ascii="Arial" w:cs="Arial" w:eastAsia="Arial" w:hAnsi="Arial"/>
                <w:sz w:val="11"/>
                <w:szCs w:val="11"/>
                <w:color w:val="auto"/>
                <w:w w:val="99"/>
              </w:rPr>
              <w:t>•   Administers an annual performance review of our Committees, Board of Directors as a whole and our directors whose</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020" w:type="dxa"/>
            <w:vAlign w:val="bottom"/>
          </w:tcPr>
          <w:p>
            <w:pPr>
              <w:ind w:left="380"/>
              <w:spacing w:after="0"/>
              <w:rPr>
                <w:sz w:val="20"/>
                <w:szCs w:val="20"/>
                <w:color w:val="auto"/>
              </w:rPr>
            </w:pPr>
            <w:r>
              <w:rPr>
                <w:rFonts w:ascii="Arial" w:cs="Arial" w:eastAsia="Arial" w:hAnsi="Arial"/>
                <w:sz w:val="11"/>
                <w:szCs w:val="11"/>
                <w:color w:val="auto"/>
              </w:rPr>
              <w:t>terms are expiring.</w:t>
            </w: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2"/>
                <w:szCs w:val="22"/>
                <w:color w:val="auto"/>
              </w:rPr>
            </w:pPr>
          </w:p>
        </w:tc>
        <w:tc>
          <w:tcPr>
            <w:tcW w:w="6020" w:type="dxa"/>
            <w:vAlign w:val="bottom"/>
          </w:tcPr>
          <w:p>
            <w:pPr>
              <w:ind w:left="160"/>
              <w:spacing w:after="0"/>
              <w:rPr>
                <w:sz w:val="20"/>
                <w:szCs w:val="20"/>
                <w:color w:val="auto"/>
              </w:rPr>
            </w:pPr>
            <w:r>
              <w:rPr>
                <w:rFonts w:ascii="Arial" w:cs="Arial" w:eastAsia="Arial" w:hAnsi="Arial"/>
                <w:sz w:val="11"/>
                <w:szCs w:val="11"/>
                <w:color w:val="auto"/>
              </w:rPr>
              <w:t>•   Administers  an  annual  review  of  the  performance  of  our  Chief  Executive  Officer,  which  includes  soliciting</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020" w:type="dxa"/>
            <w:vAlign w:val="bottom"/>
          </w:tcPr>
          <w:p>
            <w:pPr>
              <w:ind w:left="380"/>
              <w:spacing w:after="0"/>
              <w:rPr>
                <w:sz w:val="20"/>
                <w:szCs w:val="20"/>
                <w:color w:val="auto"/>
              </w:rPr>
            </w:pPr>
            <w:r>
              <w:rPr>
                <w:rFonts w:ascii="Arial" w:cs="Arial" w:eastAsia="Arial" w:hAnsi="Arial"/>
                <w:sz w:val="11"/>
                <w:szCs w:val="11"/>
                <w:color w:val="auto"/>
              </w:rPr>
              <w:t>assessments from all non-employee directors.</w:t>
            </w:r>
          </w:p>
        </w:tc>
        <w:tc>
          <w:tcPr>
            <w:tcW w:w="0" w:type="dxa"/>
            <w:vAlign w:val="bottom"/>
          </w:tcPr>
          <w:p>
            <w:pPr>
              <w:spacing w:after="0"/>
              <w:rPr>
                <w:sz w:val="1"/>
                <w:szCs w:val="1"/>
                <w:color w:val="auto"/>
              </w:rPr>
            </w:pPr>
          </w:p>
        </w:tc>
      </w:tr>
      <w:tr>
        <w:trPr>
          <w:trHeight w:val="254"/>
        </w:trPr>
        <w:tc>
          <w:tcPr>
            <w:tcW w:w="2640" w:type="dxa"/>
            <w:vAlign w:val="bottom"/>
          </w:tcPr>
          <w:p>
            <w:pPr>
              <w:spacing w:after="0"/>
              <w:rPr>
                <w:sz w:val="22"/>
                <w:szCs w:val="22"/>
                <w:color w:val="auto"/>
              </w:rPr>
            </w:pPr>
          </w:p>
        </w:tc>
        <w:tc>
          <w:tcPr>
            <w:tcW w:w="6020" w:type="dxa"/>
            <w:vAlign w:val="bottom"/>
          </w:tcPr>
          <w:p>
            <w:pPr>
              <w:ind w:left="160"/>
              <w:spacing w:after="0"/>
              <w:rPr>
                <w:sz w:val="20"/>
                <w:szCs w:val="20"/>
                <w:color w:val="auto"/>
              </w:rPr>
            </w:pPr>
            <w:r>
              <w:rPr>
                <w:rFonts w:ascii="Arial" w:cs="Arial" w:eastAsia="Arial" w:hAnsi="Arial"/>
                <w:sz w:val="11"/>
                <w:szCs w:val="11"/>
                <w:color w:val="auto"/>
              </w:rPr>
              <w:t>•   Administers our 2009 Director Stock Plan, 2019 Director Stock Plan, prior Deferred Compensation Plan for Non-</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6020" w:type="dxa"/>
            <w:vAlign w:val="bottom"/>
          </w:tcPr>
          <w:p>
            <w:pPr>
              <w:ind w:left="380"/>
              <w:spacing w:after="0"/>
              <w:rPr>
                <w:sz w:val="20"/>
                <w:szCs w:val="20"/>
                <w:color w:val="auto"/>
              </w:rPr>
            </w:pPr>
            <w:r>
              <w:rPr>
                <w:rFonts w:ascii="Arial" w:cs="Arial" w:eastAsia="Arial" w:hAnsi="Arial"/>
                <w:sz w:val="11"/>
                <w:szCs w:val="11"/>
                <w:color w:val="auto"/>
                <w:w w:val="99"/>
              </w:rPr>
              <w:t>Employee Directors, and 2021 Deferred Compensation Plan for Non-Employee Directors in which our non-employee</w:t>
            </w:r>
          </w:p>
        </w:tc>
        <w:tc>
          <w:tcPr>
            <w:tcW w:w="0" w:type="dxa"/>
            <w:vAlign w:val="bottom"/>
          </w:tcPr>
          <w:p>
            <w:pPr>
              <w:spacing w:after="0"/>
              <w:rPr>
                <w:sz w:val="1"/>
                <w:szCs w:val="1"/>
                <w:color w:val="auto"/>
              </w:rPr>
            </w:pPr>
          </w:p>
        </w:tc>
      </w:tr>
      <w:tr>
        <w:trPr>
          <w:trHeight w:val="147"/>
        </w:trPr>
        <w:tc>
          <w:tcPr>
            <w:tcW w:w="2640" w:type="dxa"/>
            <w:vAlign w:val="bottom"/>
            <w:tcBorders>
              <w:bottom w:val="single" w:sz="8" w:color="auto"/>
            </w:tcBorders>
          </w:tcPr>
          <w:p>
            <w:pPr>
              <w:spacing w:after="0"/>
              <w:rPr>
                <w:sz w:val="12"/>
                <w:szCs w:val="12"/>
                <w:color w:val="auto"/>
              </w:rPr>
            </w:pPr>
          </w:p>
        </w:tc>
        <w:tc>
          <w:tcPr>
            <w:tcW w:w="602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directors participate.</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provides current membership and fiscal 2026 meeting information for each of our Committees.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05445E"/>
                <w:w w:val="99"/>
              </w:rPr>
              <w:t>Nominating and</w:t>
            </w:r>
          </w:p>
        </w:tc>
      </w:tr>
      <w:tr>
        <w:trPr>
          <w:trHeight w:val="144"/>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05445E"/>
              </w:rPr>
              <w:t>Corporate</w:t>
            </w:r>
          </w:p>
        </w:tc>
      </w:tr>
      <w:tr>
        <w:trPr>
          <w:trHeight w:val="144"/>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5445E"/>
              </w:rPr>
              <w:t>Audit</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5445E"/>
                <w:w w:val="98"/>
              </w:rPr>
              <w:t>Compensation</w:t>
            </w:r>
          </w:p>
        </w:tc>
        <w:tc>
          <w:tcPr>
            <w:tcW w:w="2520" w:type="dxa"/>
            <w:vAlign w:val="bottom"/>
          </w:tcPr>
          <w:p>
            <w:pPr>
              <w:jc w:val="center"/>
              <w:spacing w:after="0"/>
              <w:rPr>
                <w:sz w:val="20"/>
                <w:szCs w:val="20"/>
                <w:color w:val="auto"/>
              </w:rPr>
            </w:pPr>
            <w:r>
              <w:rPr>
                <w:rFonts w:ascii="Arial" w:cs="Arial" w:eastAsia="Arial" w:hAnsi="Arial"/>
                <w:sz w:val="12"/>
                <w:szCs w:val="12"/>
                <w:b w:val="1"/>
                <w:bCs w:val="1"/>
                <w:color w:val="05445E"/>
              </w:rPr>
              <w:t>Governance</w:t>
            </w:r>
          </w:p>
        </w:tc>
      </w:tr>
      <w:tr>
        <w:trPr>
          <w:trHeight w:val="170"/>
        </w:trPr>
        <w:tc>
          <w:tcPr>
            <w:tcW w:w="3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05445E"/>
              </w:rPr>
              <w:t>Name</w:t>
            </w:r>
          </w:p>
        </w:tc>
        <w:tc>
          <w:tcPr>
            <w:tcW w:w="80" w:type="dxa"/>
            <w:vAlign w:val="bottom"/>
            <w:tcBorders>
              <w:bottom w:val="single" w:sz="8" w:color="D9D9D9"/>
            </w:tcBorders>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9"/>
              </w:rPr>
              <w:t>Committee</w:t>
            </w:r>
          </w:p>
        </w:tc>
        <w:tc>
          <w:tcPr>
            <w:tcW w:w="80" w:type="dxa"/>
            <w:vAlign w:val="bottom"/>
            <w:tcBorders>
              <w:bottom w:val="single" w:sz="8" w:color="D9D9D9"/>
            </w:tcBorders>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9"/>
              </w:rPr>
              <w:t>Committee</w:t>
            </w:r>
          </w:p>
        </w:tc>
        <w:tc>
          <w:tcPr>
            <w:tcW w:w="80" w:type="dxa"/>
            <w:vAlign w:val="bottom"/>
            <w:tcBorders>
              <w:bottom w:val="single" w:sz="8" w:color="D9D9D9"/>
            </w:tcBorders>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9"/>
              </w:rPr>
              <w:t>Committee</w:t>
            </w:r>
          </w:p>
        </w:tc>
      </w:tr>
      <w:tr>
        <w:trPr>
          <w:trHeight w:val="174"/>
        </w:trPr>
        <w:tc>
          <w:tcPr>
            <w:tcW w:w="360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Christina M. Alvord</w:t>
            </w:r>
          </w:p>
        </w:tc>
        <w:tc>
          <w:tcPr>
            <w:tcW w:w="2600" w:type="dxa"/>
            <w:vAlign w:val="bottom"/>
            <w:gridSpan w:val="2"/>
            <w:shd w:val="clear" w:color="auto" w:fill="D9D9D9"/>
          </w:tcPr>
          <w:p>
            <w:pPr>
              <w:jc w:val="center"/>
              <w:ind w:right="100"/>
              <w:spacing w:after="0"/>
              <w:rPr>
                <w:sz w:val="20"/>
                <w:szCs w:val="20"/>
                <w:color w:val="auto"/>
              </w:rPr>
            </w:pPr>
            <w:r>
              <w:rPr>
                <w:rFonts w:ascii="Arial" w:cs="Arial" w:eastAsia="Arial" w:hAnsi="Arial"/>
                <w:sz w:val="12"/>
                <w:szCs w:val="12"/>
                <w:color w:val="auto"/>
                <w:w w:val="99"/>
              </w:rPr>
              <w:t>M</w:t>
            </w:r>
          </w:p>
        </w:tc>
        <w:tc>
          <w:tcPr>
            <w:tcW w:w="25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5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M</w:t>
            </w:r>
          </w:p>
        </w:tc>
      </w:tr>
      <w:tr>
        <w:trPr>
          <w:trHeight w:val="172"/>
        </w:trPr>
        <w:tc>
          <w:tcPr>
            <w:tcW w:w="3600" w:type="dxa"/>
            <w:vAlign w:val="bottom"/>
            <w:gridSpan w:val="2"/>
          </w:tcPr>
          <w:p>
            <w:pPr>
              <w:spacing w:after="0"/>
              <w:rPr>
                <w:sz w:val="20"/>
                <w:szCs w:val="20"/>
                <w:color w:val="auto"/>
              </w:rPr>
            </w:pPr>
            <w:r>
              <w:rPr>
                <w:rFonts w:ascii="Arial" w:cs="Arial" w:eastAsia="Arial" w:hAnsi="Arial"/>
                <w:sz w:val="12"/>
                <w:szCs w:val="12"/>
                <w:color w:val="auto"/>
              </w:rPr>
              <w:t>Lloyd E. Johnson</w:t>
            </w:r>
          </w:p>
        </w:tc>
        <w:tc>
          <w:tcPr>
            <w:tcW w:w="2600" w:type="dxa"/>
            <w:vAlign w:val="bottom"/>
            <w:gridSpan w:val="2"/>
          </w:tcPr>
          <w:p>
            <w:pPr>
              <w:jc w:val="center"/>
              <w:ind w:right="80"/>
              <w:spacing w:after="0"/>
              <w:rPr>
                <w:sz w:val="20"/>
                <w:szCs w:val="20"/>
                <w:color w:val="auto"/>
              </w:rPr>
            </w:pPr>
            <w:r>
              <w:rPr>
                <w:rFonts w:ascii="Arial" w:cs="Arial" w:eastAsia="Arial" w:hAnsi="Arial"/>
                <w:sz w:val="12"/>
                <w:szCs w:val="12"/>
                <w:color w:val="auto"/>
                <w:w w:val="97"/>
              </w:rPr>
              <w:t>M/FE</w:t>
            </w:r>
          </w:p>
        </w:tc>
        <w:tc>
          <w:tcPr>
            <w:tcW w:w="258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M</w:t>
            </w:r>
          </w:p>
        </w:tc>
        <w:tc>
          <w:tcPr>
            <w:tcW w:w="2520" w:type="dxa"/>
            <w:vAlign w:val="bottom"/>
          </w:tcPr>
          <w:p>
            <w:pPr>
              <w:spacing w:after="0"/>
              <w:rPr>
                <w:sz w:val="14"/>
                <w:szCs w:val="14"/>
                <w:color w:val="auto"/>
              </w:rPr>
            </w:pPr>
          </w:p>
        </w:tc>
      </w:tr>
      <w:tr>
        <w:trPr>
          <w:trHeight w:val="188"/>
        </w:trPr>
        <w:tc>
          <w:tcPr>
            <w:tcW w:w="360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Elizabeth M. Lilly</w:t>
            </w:r>
          </w:p>
        </w:tc>
        <w:tc>
          <w:tcPr>
            <w:tcW w:w="2600" w:type="dxa"/>
            <w:vAlign w:val="bottom"/>
            <w:gridSpan w:val="2"/>
            <w:shd w:val="clear" w:color="auto" w:fill="D9D9D9"/>
          </w:tcPr>
          <w:p>
            <w:pPr>
              <w:jc w:val="center"/>
              <w:ind w:right="100"/>
              <w:spacing w:after="0"/>
              <w:rPr>
                <w:sz w:val="20"/>
                <w:szCs w:val="20"/>
                <w:color w:val="auto"/>
              </w:rPr>
            </w:pPr>
            <w:r>
              <w:rPr>
                <w:rFonts w:ascii="Arial" w:cs="Arial" w:eastAsia="Arial" w:hAnsi="Arial"/>
                <w:sz w:val="12"/>
                <w:szCs w:val="12"/>
                <w:color w:val="auto"/>
                <w:w w:val="99"/>
              </w:rPr>
              <w:t>M</w:t>
            </w:r>
          </w:p>
        </w:tc>
        <w:tc>
          <w:tcPr>
            <w:tcW w:w="258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M</w:t>
            </w:r>
          </w:p>
        </w:tc>
        <w:tc>
          <w:tcPr>
            <w:tcW w:w="2520" w:type="dxa"/>
            <w:vAlign w:val="bottom"/>
            <w:shd w:val="clear" w:color="auto" w:fill="D9D9D9"/>
          </w:tcPr>
          <w:p>
            <w:pPr>
              <w:spacing w:after="0"/>
              <w:rPr>
                <w:sz w:val="16"/>
                <w:szCs w:val="16"/>
                <w:color w:val="auto"/>
              </w:rPr>
            </w:pPr>
          </w:p>
        </w:tc>
      </w:tr>
      <w:tr>
        <w:trPr>
          <w:trHeight w:val="172"/>
        </w:trPr>
        <w:tc>
          <w:tcPr>
            <w:tcW w:w="3600" w:type="dxa"/>
            <w:vAlign w:val="bottom"/>
            <w:gridSpan w:val="2"/>
          </w:tcPr>
          <w:p>
            <w:pPr>
              <w:spacing w:after="0"/>
              <w:rPr>
                <w:sz w:val="20"/>
                <w:szCs w:val="20"/>
                <w:color w:val="auto"/>
              </w:rPr>
            </w:pPr>
            <w:r>
              <w:rPr>
                <w:rFonts w:ascii="Arial" w:cs="Arial" w:eastAsia="Arial" w:hAnsi="Arial"/>
                <w:sz w:val="12"/>
                <w:szCs w:val="12"/>
                <w:color w:val="auto"/>
              </w:rPr>
              <w:t>Herbert K. Parker</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M</w:t>
            </w:r>
          </w:p>
        </w:tc>
        <w:tc>
          <w:tcPr>
            <w:tcW w:w="2520" w:type="dxa"/>
            <w:vAlign w:val="bottom"/>
          </w:tcPr>
          <w:p>
            <w:pPr>
              <w:jc w:val="center"/>
              <w:spacing w:after="0"/>
              <w:rPr>
                <w:sz w:val="20"/>
                <w:szCs w:val="20"/>
                <w:color w:val="auto"/>
              </w:rPr>
            </w:pPr>
            <w:r>
              <w:rPr>
                <w:rFonts w:ascii="Arial" w:cs="Arial" w:eastAsia="Arial" w:hAnsi="Arial"/>
                <w:sz w:val="12"/>
                <w:szCs w:val="12"/>
                <w:color w:val="auto"/>
                <w:w w:val="91"/>
              </w:rPr>
              <w:t>C</w:t>
            </w:r>
          </w:p>
        </w:tc>
      </w:tr>
      <w:tr>
        <w:trPr>
          <w:trHeight w:val="188"/>
        </w:trPr>
        <w:tc>
          <w:tcPr>
            <w:tcW w:w="360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Mark A. Pompa</w:t>
            </w:r>
          </w:p>
        </w:tc>
        <w:tc>
          <w:tcPr>
            <w:tcW w:w="260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rPr>
              <w:t>C/FE</w:t>
            </w:r>
          </w:p>
        </w:tc>
        <w:tc>
          <w:tcPr>
            <w:tcW w:w="258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M</w:t>
            </w:r>
          </w:p>
        </w:tc>
        <w:tc>
          <w:tcPr>
            <w:tcW w:w="2520" w:type="dxa"/>
            <w:vAlign w:val="bottom"/>
            <w:shd w:val="clear" w:color="auto" w:fill="D9D9D9"/>
          </w:tcPr>
          <w:p>
            <w:pPr>
              <w:spacing w:after="0"/>
              <w:rPr>
                <w:sz w:val="16"/>
                <w:szCs w:val="16"/>
                <w:color w:val="auto"/>
              </w:rPr>
            </w:pPr>
          </w:p>
        </w:tc>
      </w:tr>
      <w:tr>
        <w:trPr>
          <w:trHeight w:val="172"/>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Patricia K. Wagner</w:t>
            </w:r>
          </w:p>
        </w:tc>
        <w:tc>
          <w:tcPr>
            <w:tcW w:w="2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color w:val="auto"/>
              </w:rPr>
              <w:t>C</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M</w:t>
            </w:r>
          </w:p>
        </w:tc>
      </w:tr>
      <w:tr>
        <w:trPr>
          <w:trHeight w:val="167"/>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Fiscal 2026 Meetings</w:t>
            </w:r>
          </w:p>
        </w:tc>
        <w:tc>
          <w:tcPr>
            <w:tcW w:w="252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2"/>
                <w:szCs w:val="12"/>
                <w:color w:val="auto"/>
                <w:w w:val="89"/>
              </w:rPr>
              <w:t>8</w:t>
            </w:r>
          </w:p>
        </w:tc>
        <w:tc>
          <w:tcPr>
            <w:tcW w:w="8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2"/>
                <w:szCs w:val="12"/>
                <w:color w:val="auto"/>
              </w:rPr>
              <w:t>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 </w:t>
      </w:r>
      <w:r>
        <w:rPr>
          <w:rFonts w:ascii="Arial" w:cs="Arial" w:eastAsia="Arial" w:hAnsi="Arial"/>
          <w:sz w:val="12"/>
          <w:szCs w:val="12"/>
          <w:color w:val="auto"/>
        </w:rPr>
        <w:t>= Committee Chair</w:t>
      </w:r>
      <w:r>
        <w:rPr>
          <w:rFonts w:ascii="Arial" w:cs="Arial" w:eastAsia="Arial" w:hAnsi="Arial"/>
          <w:sz w:val="12"/>
          <w:szCs w:val="12"/>
          <w:b w:val="1"/>
          <w:bCs w:val="1"/>
          <w:color w:val="auto"/>
        </w:rPr>
        <w:t xml:space="preserve"> M </w:t>
      </w:r>
      <w:r>
        <w:rPr>
          <w:rFonts w:ascii="Arial" w:cs="Arial" w:eastAsia="Arial" w:hAnsi="Arial"/>
          <w:sz w:val="12"/>
          <w:szCs w:val="12"/>
          <w:color w:val="auto"/>
        </w:rPr>
        <w:t>= Committee Member</w:t>
      </w:r>
      <w:r>
        <w:rPr>
          <w:rFonts w:ascii="Arial" w:cs="Arial" w:eastAsia="Arial" w:hAnsi="Arial"/>
          <w:sz w:val="12"/>
          <w:szCs w:val="12"/>
          <w:b w:val="1"/>
          <w:bCs w:val="1"/>
          <w:color w:val="auto"/>
        </w:rPr>
        <w:t xml:space="preserve"> FE </w:t>
      </w:r>
      <w:r>
        <w:rPr>
          <w:rFonts w:ascii="Arial" w:cs="Arial" w:eastAsia="Arial" w:hAnsi="Arial"/>
          <w:sz w:val="12"/>
          <w:szCs w:val="12"/>
          <w:color w:val="auto"/>
        </w:rPr>
        <w:t>= Audit Committee Financial Expert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Risk Oversight by Our Board of Directors and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Committee Roles in Risk Management</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Board of Directors oversees our enterprise risk management processes, focusing on our business, strategic, financial, operational, information technology, cybersecurity, climate-related and overall enterprise risk. Our Board determined that oversight of our Company’s strategy and overall enterprise risk management program is more effective when performed by the full Board, utilizing the skills and experiences of all directors. In addition, our Board of Directors executes its overall responsibility for risk management through its Committees as follows:</w:t>
      </w:r>
    </w:p>
    <w:p>
      <w:pPr>
        <w:spacing w:after="0" w:line="114" w:lineRule="exact"/>
        <w:rPr>
          <w:sz w:val="20"/>
          <w:szCs w:val="20"/>
          <w:color w:val="auto"/>
        </w:rPr>
      </w:pPr>
    </w:p>
    <w:p>
      <w:pPr>
        <w:ind w:left="420" w:hanging="212"/>
        <w:spacing w:after="0" w:line="28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Audit Committee has primary responsibility for risk management relating to the reliability of our financial reporting processes, system of internal controls and corporate compliance program. Our Audit Committee receives quarterly reports from management, our independent registered public accounting firm and the Company's internal audit function regarding our financial reporting processes, internal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1" w:right="299" w:bottom="1440" w:gutter="0" w:footer="0" w:header="0"/>
        </w:sectPr>
      </w:pPr>
    </w:p>
    <w:bookmarkStart w:id="30" w:name="page31"/>
    <w:bookmarkEnd w:id="30"/>
    <w:p>
      <w:pPr>
        <w:ind w:left="420"/>
        <w:spacing w:after="0"/>
        <w:rPr>
          <w:sz w:val="20"/>
          <w:szCs w:val="20"/>
          <w:color w:val="auto"/>
        </w:rPr>
      </w:pPr>
      <w:r>
        <w:rPr>
          <w:rFonts w:ascii="Arial" w:cs="Arial" w:eastAsia="Arial" w:hAnsi="Arial"/>
          <w:sz w:val="12"/>
          <w:szCs w:val="12"/>
          <w:color w:val="auto"/>
        </w:rPr>
        <w:t>controls and public filings. It also receives quarterly updates from management regarding Code of Conduct matters, litigation and legal claims, and other compliance matters.</w:t>
      </w:r>
    </w:p>
    <w:p>
      <w:pPr>
        <w:spacing w:after="0" w:line="150" w:lineRule="exact"/>
        <w:rPr>
          <w:sz w:val="20"/>
          <w:szCs w:val="20"/>
          <w:color w:val="auto"/>
        </w:rPr>
      </w:pPr>
    </w:p>
    <w:p>
      <w:pPr>
        <w:ind w:left="420" w:hanging="212"/>
        <w:spacing w:after="0" w:line="286"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Compensation Committee, with assistance from its independent compensation consultant, oversees risk management associated with our compensation programs, policies and practices with respect to both executive compensation and compensation in general, and reviews human capital management matters including diversity, equity and inclusion.</w:t>
      </w:r>
    </w:p>
    <w:p>
      <w:pPr>
        <w:spacing w:after="0" w:line="103"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Nominating and Corporate Governance Committee oversees risk management associated with succession planning, non-employee director compensation, overall Board of Directors and Board Committee performance, and corporate governance practices.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Management's Role in Risk Management</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Company's Enterprise Risk Management ("ERM") committee assists us in achieving our business objectives by creating a systematic approach to anticipate, analyze and review material risks. The ERM committee meets with the Company's executives and senior leaders, and presents to the Board at least twice per year on the probability, potential impact and timeframe of impact of the identified risks.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Sustainability and Human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At Apogee, our Core Values are the foundation of our culture, and they are reflected in our commitment to sustainability and to developing our employees to their full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12065</wp:posOffset>
            </wp:positionV>
            <wp:extent cx="2857500" cy="1388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As a leading provider of architectural products and services, 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increasing focus on energy efficiency, reducing their greenhouse gas emissions, and other performance requirements.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commitment to sustainability begins with our people. We continually focus on strengthening our team to ensure that we have the capabilities in place to consistently deliver for our customers. Apogee has an enterprise-wide talent management program in place to hire, train, and develop a diverse team of employees and leaders. We are also committed to our employees’ safety and wellness, with a robust workplace safety program, comprehensive benefit packages, and wellness initiatives to promote healthy lifestyles.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Additional information related to our sustainability efforts, human capital management and environmental responsibility efforts is available on our website at </w:t>
      </w:r>
      <w:r>
        <w:rPr>
          <w:rFonts w:ascii="Arial" w:cs="Arial" w:eastAsia="Arial" w:hAnsi="Arial"/>
          <w:sz w:val="12"/>
          <w:szCs w:val="12"/>
          <w:color w:val="0000FF"/>
        </w:rPr>
        <w:t>www.apog.com</w:t>
      </w:r>
      <w:r>
        <w:rPr>
          <w:rFonts w:ascii="Arial" w:cs="Arial" w:eastAsia="Arial" w:hAnsi="Arial"/>
          <w:sz w:val="12"/>
          <w:szCs w:val="12"/>
          <w:color w:val="auto"/>
        </w:rPr>
        <w:t xml:space="preserve"> by clicking “Sustainability.”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05445E"/>
        </w:rPr>
        <w:t>Certain Relationships and Related Transactions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have established written policies and procedures (the “Related Person Transactions Policy”) to assist us in reviewing transactions in excess of $120,000 involving our Company and our subsidiaries and Related Persons (“Related Persons Transactions”). A Related Person includes our Company’s directors, director nominees, executive officers and beneficial owners of 5% or more of our Company’s common stock and their respective Immediate Family Members (as defined in our Related Person Transactions Policy). Our Related Person Transactions Policy supplements our Code of Business Ethics and Conduct Conflict of Interest Policy, which applies to all of our employees and directors.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Related Person Transactions Policy requires any Related Person Transaction to be promptly reported to the Chair of our Nominating and Corporate Governance Committee. In approving, ratifying or rejecting a Related Person Transaction, our Nominating and Corporate Governance Committee will consider such information as it deems important to determine if the Related Person Transaction is fair to our Company. Our Conflict of Interest Policy requires our employees and directors to report to our General Counsel any potential conflict of interest situation involving any employee or director, or their Immediate Family Members. During fiscal 2026, there were no Related Party Transactions involving a Related Person, as defined in the policy.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Insider Trading and Tipping and Hedging Policy</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have an Insider Trading and Tipping and Hedging Policy (“Insider Trading Policy”) that governs the purchase, sale, or other disposition of the Company's securities by our Company's directors, Section 16 officers, employees and related parties. Our Insider Trading Policy was reasonably designed to comply with applicable insider trading laws, rules and regulations, and listing requirements. Our Insider Trading Policy prohibits our Company's directors, Section 16 officers and employees from trading in the Company's securities while aware of material non-public information subject to certain exceptions, including pre-arranged trading programs pursuant to Rule 10b5-1 under the Securities Exchange Act of 1934. Directors and Section 16 officers are required to seek pre-clearance and approval of their transactions in the Company's securities by our General Counsel, and to comply with the Company's prescribed trading window. Our Insider Trading Policy also, among other things, prohibits tipping or disclosing material non-public information to others, and prohibits our Company's directors, Section 16 officers and employees from short selling, hedging and pledging the Company's stock. In addition, with regard to the Company's trading in its own securities, it is the Company's policy to comply with the federal securities laws and the applicable exchange listing requirements. A copy of our Insider Trading Policy can be found as Exhibit 19.1 to our most recent Annual Report on Form 10-K.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7" w:right="299" w:bottom="1440" w:gutter="0" w:footer="0" w:header="0"/>
        </w:sectPr>
      </w:pPr>
    </w:p>
    <w:bookmarkStart w:id="32" w:name="page33"/>
    <w:bookmarkEnd w:id="32"/>
    <w:p>
      <w:pPr>
        <w:ind w:left="4108"/>
        <w:spacing w:after="0"/>
        <w:rPr>
          <w:sz w:val="20"/>
          <w:szCs w:val="20"/>
          <w:color w:val="auto"/>
        </w:rPr>
      </w:pPr>
      <w:r>
        <w:rPr>
          <w:rFonts w:ascii="Arial" w:cs="Arial" w:eastAsia="Arial" w:hAnsi="Arial"/>
          <w:sz w:val="17"/>
          <w:szCs w:val="17"/>
          <w:b w:val="1"/>
          <w:bCs w:val="1"/>
          <w:color w:val="auto"/>
        </w:rPr>
        <w:t>Non-Employee Director Compensation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5445E"/>
        </w:rPr>
        <w:t>Non-Employee Director Compensation Arrangements During Fiscal 2026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structure director compensation to attract and retain qualified non-employee directors and to further align the interests of directors with the interests of our shareholders.</w:t>
      </w:r>
    </w:p>
    <w:p>
      <w:pPr>
        <w:spacing w:after="0" w:line="150" w:lineRule="exact"/>
        <w:rPr>
          <w:sz w:val="20"/>
          <w:szCs w:val="20"/>
          <w:color w:val="auto"/>
        </w:rPr>
      </w:pPr>
    </w:p>
    <w:p>
      <w:pPr>
        <w:jc w:val="both"/>
        <w:ind w:left="8"/>
        <w:spacing w:after="0" w:line="244" w:lineRule="auto"/>
        <w:rPr>
          <w:sz w:val="20"/>
          <w:szCs w:val="20"/>
          <w:color w:val="auto"/>
        </w:rPr>
      </w:pPr>
      <w:r>
        <w:rPr>
          <w:rFonts w:ascii="Arial" w:cs="Arial" w:eastAsia="Arial" w:hAnsi="Arial"/>
          <w:sz w:val="12"/>
          <w:szCs w:val="12"/>
          <w:color w:val="auto"/>
        </w:rPr>
        <w:t>Our Board of Directors approves the compensation for members of our Board of Directors and Committees based on the recommendations of our Nominating and Corporate Governance Committee. We target compensation for service on our Board of Directors and Committees within a reasonable range around the 50</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percentile for board service at companies in our peer group of companies, using the same peer group used for executive compensation purposes. Generally, our Nominating and Corporate Governance Committee reviews and discusses the compensation data and analysis provided by management with assistance from the Company's independent compensation consultant. Our Chief Executive Officer participates in the discussions on compensation for members of our Board of Directors. Directors who are employees receive no additional compensation for serving on our Board of Directors.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580" w:type="dxa"/>
            <w:vAlign w:val="bottom"/>
            <w:gridSpan w:val="2"/>
          </w:tcPr>
          <w:p>
            <w:pPr>
              <w:spacing w:after="0"/>
              <w:rPr>
                <w:sz w:val="20"/>
                <w:szCs w:val="20"/>
                <w:color w:val="auto"/>
              </w:rPr>
            </w:pPr>
            <w:r>
              <w:rPr>
                <w:rFonts w:ascii="Arial" w:cs="Arial" w:eastAsia="Arial" w:hAnsi="Arial"/>
                <w:sz w:val="12"/>
                <w:szCs w:val="12"/>
                <w:color w:val="auto"/>
              </w:rPr>
              <w:t>The following table describes the compensation arrangements with our non-employee directors as of the end of fiscal 2026.</w:t>
            </w:r>
          </w:p>
        </w:tc>
        <w:tc>
          <w:tcPr>
            <w:tcW w:w="29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335"/>
        </w:trPr>
        <w:tc>
          <w:tcPr>
            <w:tcW w:w="648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Compensation</w:t>
            </w:r>
          </w:p>
        </w:tc>
        <w:tc>
          <w:tcPr>
            <w:tcW w:w="100" w:type="dxa"/>
            <w:vAlign w:val="bottom"/>
            <w:tcBorders>
              <w:bottom w:val="single" w:sz="8" w:color="D9D9D9"/>
            </w:tcBorders>
          </w:tcPr>
          <w:p>
            <w:pPr>
              <w:spacing w:after="0"/>
              <w:rPr>
                <w:sz w:val="24"/>
                <w:szCs w:val="24"/>
                <w:color w:val="auto"/>
              </w:rPr>
            </w:pPr>
          </w:p>
        </w:tc>
        <w:tc>
          <w:tcPr>
            <w:tcW w:w="2900" w:type="dxa"/>
            <w:vAlign w:val="bottom"/>
            <w:tcBorders>
              <w:bottom w:val="single" w:sz="8" w:color="929292"/>
            </w:tcBorders>
          </w:tcPr>
          <w:p>
            <w:pPr>
              <w:jc w:val="right"/>
              <w:ind w:right="160"/>
              <w:spacing w:after="0"/>
              <w:rPr>
                <w:sz w:val="20"/>
                <w:szCs w:val="20"/>
                <w:color w:val="auto"/>
              </w:rPr>
            </w:pPr>
            <w:r>
              <w:rPr>
                <w:rFonts w:ascii="Arial" w:cs="Arial" w:eastAsia="Arial" w:hAnsi="Arial"/>
                <w:sz w:val="12"/>
                <w:szCs w:val="12"/>
                <w:b w:val="1"/>
                <w:bCs w:val="1"/>
                <w:color w:val="05445E"/>
              </w:rPr>
              <w:t>Fiscal 2026</w:t>
            </w:r>
          </w:p>
        </w:tc>
        <w:tc>
          <w:tcPr>
            <w:tcW w:w="1820" w:type="dxa"/>
            <w:vAlign w:val="bottom"/>
            <w:tcBorders>
              <w:bottom w:val="single" w:sz="8" w:color="929292"/>
            </w:tcBorders>
          </w:tcPr>
          <w:p>
            <w:pPr>
              <w:spacing w:after="0"/>
              <w:rPr>
                <w:sz w:val="24"/>
                <w:szCs w:val="24"/>
                <w:color w:val="auto"/>
              </w:rPr>
            </w:pPr>
          </w:p>
        </w:tc>
      </w:tr>
      <w:tr>
        <w:trPr>
          <w:trHeight w:val="174"/>
        </w:trPr>
        <w:tc>
          <w:tcPr>
            <w:tcW w:w="6580" w:type="dxa"/>
            <w:vAlign w:val="bottom"/>
            <w:gridSpan w:val="2"/>
            <w:shd w:val="clear" w:color="auto" w:fill="D9D9D9"/>
          </w:tcPr>
          <w:p>
            <w:pPr>
              <w:spacing w:after="0"/>
              <w:rPr>
                <w:sz w:val="20"/>
                <w:szCs w:val="20"/>
                <w:color w:val="auto"/>
              </w:rPr>
            </w:pPr>
            <w:r>
              <w:rPr>
                <w:rFonts w:ascii="Arial" w:cs="Arial" w:eastAsia="Arial" w:hAnsi="Arial"/>
                <w:sz w:val="12"/>
                <w:szCs w:val="12"/>
                <w:b w:val="1"/>
                <w:bCs w:val="1"/>
                <w:color w:val="05445E"/>
              </w:rPr>
              <w:t>Annual Cash Retainers:</w:t>
            </w:r>
          </w:p>
        </w:tc>
        <w:tc>
          <w:tcPr>
            <w:tcW w:w="2900" w:type="dxa"/>
            <w:vAlign w:val="bottom"/>
            <w:shd w:val="clear" w:color="auto" w:fill="D9D9D9"/>
          </w:tcPr>
          <w:p>
            <w:pPr>
              <w:spacing w:after="0"/>
              <w:rPr>
                <w:sz w:val="15"/>
                <w:szCs w:val="15"/>
                <w:color w:val="auto"/>
              </w:rPr>
            </w:pPr>
          </w:p>
        </w:tc>
        <w:tc>
          <w:tcPr>
            <w:tcW w:w="1820" w:type="dxa"/>
            <w:vAlign w:val="bottom"/>
            <w:shd w:val="clear" w:color="auto" w:fill="D9D9D9"/>
          </w:tcPr>
          <w:p>
            <w:pPr>
              <w:spacing w:after="0"/>
              <w:rPr>
                <w:sz w:val="15"/>
                <w:szCs w:val="15"/>
                <w:color w:val="auto"/>
              </w:rPr>
            </w:pPr>
          </w:p>
        </w:tc>
      </w:tr>
      <w:tr>
        <w:trPr>
          <w:trHeight w:val="172"/>
        </w:trPr>
        <w:tc>
          <w:tcPr>
            <w:tcW w:w="6580" w:type="dxa"/>
            <w:vAlign w:val="bottom"/>
            <w:gridSpan w:val="2"/>
          </w:tcPr>
          <w:p>
            <w:pPr>
              <w:ind w:left="160"/>
              <w:spacing w:after="0"/>
              <w:rPr>
                <w:sz w:val="20"/>
                <w:szCs w:val="20"/>
                <w:color w:val="auto"/>
              </w:rPr>
            </w:pPr>
            <w:r>
              <w:rPr>
                <w:rFonts w:ascii="Arial" w:cs="Arial" w:eastAsia="Arial" w:hAnsi="Arial"/>
                <w:sz w:val="12"/>
                <w:szCs w:val="12"/>
                <w:color w:val="auto"/>
              </w:rPr>
              <w:t>Independent Chair of the Board</w:t>
            </w:r>
          </w:p>
        </w:tc>
        <w:tc>
          <w:tcPr>
            <w:tcW w:w="2900" w:type="dxa"/>
            <w:vAlign w:val="bottom"/>
          </w:tcPr>
          <w:p>
            <w:pPr>
              <w:jc w:val="right"/>
              <w:spacing w:after="0"/>
              <w:rPr>
                <w:sz w:val="20"/>
                <w:szCs w:val="20"/>
                <w:color w:val="auto"/>
              </w:rPr>
            </w:pPr>
            <w:r>
              <w:rPr>
                <w:rFonts w:ascii="Arial" w:cs="Arial" w:eastAsia="Arial" w:hAnsi="Arial"/>
                <w:sz w:val="12"/>
                <w:szCs w:val="12"/>
                <w:color w:val="auto"/>
              </w:rPr>
              <w:t>$135,000</w:t>
            </w:r>
          </w:p>
        </w:tc>
        <w:tc>
          <w:tcPr>
            <w:tcW w:w="1820" w:type="dxa"/>
            <w:vAlign w:val="bottom"/>
          </w:tcPr>
          <w:p>
            <w:pPr>
              <w:spacing w:after="0"/>
              <w:rPr>
                <w:sz w:val="14"/>
                <w:szCs w:val="14"/>
                <w:color w:val="auto"/>
              </w:rPr>
            </w:pPr>
          </w:p>
        </w:tc>
      </w:tr>
      <w:tr>
        <w:trPr>
          <w:trHeight w:val="188"/>
        </w:trPr>
        <w:tc>
          <w:tcPr>
            <w:tcW w:w="6580" w:type="dxa"/>
            <w:vAlign w:val="bottom"/>
            <w:gridSpan w:val="2"/>
            <w:shd w:val="clear" w:color="auto" w:fill="D9D9D9"/>
          </w:tcPr>
          <w:p>
            <w:pPr>
              <w:ind w:left="160"/>
              <w:spacing w:after="0"/>
              <w:rPr>
                <w:sz w:val="20"/>
                <w:szCs w:val="20"/>
                <w:color w:val="auto"/>
              </w:rPr>
            </w:pPr>
            <w:r>
              <w:rPr>
                <w:rFonts w:ascii="Arial" w:cs="Arial" w:eastAsia="Arial" w:hAnsi="Arial"/>
                <w:sz w:val="12"/>
                <w:szCs w:val="12"/>
                <w:color w:val="auto"/>
              </w:rPr>
              <w:t>Lead Director</w:t>
            </w:r>
          </w:p>
        </w:tc>
        <w:tc>
          <w:tcPr>
            <w:tcW w:w="29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30,000</w:t>
            </w:r>
          </w:p>
        </w:tc>
        <w:tc>
          <w:tcPr>
            <w:tcW w:w="1820" w:type="dxa"/>
            <w:vAlign w:val="bottom"/>
            <w:shd w:val="clear" w:color="auto" w:fill="D9D9D9"/>
          </w:tcPr>
          <w:p>
            <w:pPr>
              <w:spacing w:after="0"/>
              <w:rPr>
                <w:sz w:val="16"/>
                <w:szCs w:val="16"/>
                <w:color w:val="auto"/>
              </w:rPr>
            </w:pPr>
          </w:p>
        </w:tc>
      </w:tr>
      <w:tr>
        <w:trPr>
          <w:trHeight w:val="172"/>
        </w:trPr>
        <w:tc>
          <w:tcPr>
            <w:tcW w:w="6580" w:type="dxa"/>
            <w:vAlign w:val="bottom"/>
            <w:gridSpan w:val="2"/>
          </w:tcPr>
          <w:p>
            <w:pPr>
              <w:ind w:left="160"/>
              <w:spacing w:after="0"/>
              <w:rPr>
                <w:sz w:val="20"/>
                <w:szCs w:val="20"/>
                <w:color w:val="auto"/>
              </w:rPr>
            </w:pPr>
            <w:r>
              <w:rPr>
                <w:rFonts w:ascii="Arial" w:cs="Arial" w:eastAsia="Arial" w:hAnsi="Arial"/>
                <w:sz w:val="12"/>
                <w:szCs w:val="12"/>
                <w:color w:val="auto"/>
              </w:rPr>
              <w:t>Board Member</w:t>
            </w:r>
          </w:p>
        </w:tc>
        <w:tc>
          <w:tcPr>
            <w:tcW w:w="2900" w:type="dxa"/>
            <w:vAlign w:val="bottom"/>
          </w:tcPr>
          <w:p>
            <w:pPr>
              <w:jc w:val="right"/>
              <w:spacing w:after="0"/>
              <w:rPr>
                <w:sz w:val="20"/>
                <w:szCs w:val="20"/>
                <w:color w:val="auto"/>
              </w:rPr>
            </w:pPr>
            <w:r>
              <w:rPr>
                <w:rFonts w:ascii="Arial" w:cs="Arial" w:eastAsia="Arial" w:hAnsi="Arial"/>
                <w:sz w:val="12"/>
                <w:szCs w:val="12"/>
                <w:color w:val="auto"/>
              </w:rPr>
              <w:t>75,000</w:t>
            </w:r>
          </w:p>
        </w:tc>
        <w:tc>
          <w:tcPr>
            <w:tcW w:w="1820" w:type="dxa"/>
            <w:vAlign w:val="bottom"/>
          </w:tcPr>
          <w:p>
            <w:pPr>
              <w:spacing w:after="0"/>
              <w:rPr>
                <w:sz w:val="14"/>
                <w:szCs w:val="14"/>
                <w:color w:val="auto"/>
              </w:rPr>
            </w:pPr>
          </w:p>
        </w:tc>
      </w:tr>
      <w:tr>
        <w:trPr>
          <w:trHeight w:val="188"/>
        </w:trPr>
        <w:tc>
          <w:tcPr>
            <w:tcW w:w="6580" w:type="dxa"/>
            <w:vAlign w:val="bottom"/>
            <w:gridSpan w:val="2"/>
            <w:shd w:val="clear" w:color="auto" w:fill="D9D9D9"/>
          </w:tcPr>
          <w:p>
            <w:pPr>
              <w:ind w:left="160"/>
              <w:spacing w:after="0"/>
              <w:rPr>
                <w:sz w:val="20"/>
                <w:szCs w:val="20"/>
                <w:color w:val="auto"/>
              </w:rPr>
            </w:pPr>
            <w:r>
              <w:rPr>
                <w:rFonts w:ascii="Arial" w:cs="Arial" w:eastAsia="Arial" w:hAnsi="Arial"/>
                <w:sz w:val="12"/>
                <w:szCs w:val="12"/>
                <w:color w:val="auto"/>
              </w:rPr>
              <w:t>Audit Committee Chair</w:t>
            </w:r>
          </w:p>
        </w:tc>
        <w:tc>
          <w:tcPr>
            <w:tcW w:w="29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30,000</w:t>
            </w:r>
          </w:p>
        </w:tc>
        <w:tc>
          <w:tcPr>
            <w:tcW w:w="1820" w:type="dxa"/>
            <w:vAlign w:val="bottom"/>
            <w:shd w:val="clear" w:color="auto" w:fill="D9D9D9"/>
          </w:tcPr>
          <w:p>
            <w:pPr>
              <w:spacing w:after="0"/>
              <w:rPr>
                <w:sz w:val="16"/>
                <w:szCs w:val="16"/>
                <w:color w:val="auto"/>
              </w:rPr>
            </w:pPr>
          </w:p>
        </w:tc>
      </w:tr>
      <w:tr>
        <w:trPr>
          <w:trHeight w:val="172"/>
        </w:trPr>
        <w:tc>
          <w:tcPr>
            <w:tcW w:w="6580" w:type="dxa"/>
            <w:vAlign w:val="bottom"/>
            <w:gridSpan w:val="2"/>
          </w:tcPr>
          <w:p>
            <w:pPr>
              <w:ind w:left="160"/>
              <w:spacing w:after="0"/>
              <w:rPr>
                <w:sz w:val="20"/>
                <w:szCs w:val="20"/>
                <w:color w:val="auto"/>
              </w:rPr>
            </w:pPr>
            <w:r>
              <w:rPr>
                <w:rFonts w:ascii="Arial" w:cs="Arial" w:eastAsia="Arial" w:hAnsi="Arial"/>
                <w:sz w:val="12"/>
                <w:szCs w:val="12"/>
                <w:color w:val="auto"/>
              </w:rPr>
              <w:t>Audit Committee Member</w:t>
            </w:r>
          </w:p>
        </w:tc>
        <w:tc>
          <w:tcPr>
            <w:tcW w:w="2900" w:type="dxa"/>
            <w:vAlign w:val="bottom"/>
          </w:tcPr>
          <w:p>
            <w:pPr>
              <w:jc w:val="right"/>
              <w:spacing w:after="0"/>
              <w:rPr>
                <w:sz w:val="20"/>
                <w:szCs w:val="20"/>
                <w:color w:val="auto"/>
              </w:rPr>
            </w:pPr>
            <w:r>
              <w:rPr>
                <w:rFonts w:ascii="Arial" w:cs="Arial" w:eastAsia="Arial" w:hAnsi="Arial"/>
                <w:sz w:val="12"/>
                <w:szCs w:val="12"/>
                <w:color w:val="auto"/>
              </w:rPr>
              <w:t>15,000</w:t>
            </w:r>
          </w:p>
        </w:tc>
        <w:tc>
          <w:tcPr>
            <w:tcW w:w="1820" w:type="dxa"/>
            <w:vAlign w:val="bottom"/>
          </w:tcPr>
          <w:p>
            <w:pPr>
              <w:spacing w:after="0"/>
              <w:rPr>
                <w:sz w:val="14"/>
                <w:szCs w:val="14"/>
                <w:color w:val="auto"/>
              </w:rPr>
            </w:pPr>
          </w:p>
        </w:tc>
      </w:tr>
      <w:tr>
        <w:trPr>
          <w:trHeight w:val="188"/>
        </w:trPr>
        <w:tc>
          <w:tcPr>
            <w:tcW w:w="6580" w:type="dxa"/>
            <w:vAlign w:val="bottom"/>
            <w:gridSpan w:val="2"/>
            <w:shd w:val="clear" w:color="auto" w:fill="D9D9D9"/>
          </w:tcPr>
          <w:p>
            <w:pPr>
              <w:ind w:left="160"/>
              <w:spacing w:after="0"/>
              <w:rPr>
                <w:sz w:val="20"/>
                <w:szCs w:val="20"/>
                <w:color w:val="auto"/>
              </w:rPr>
            </w:pPr>
            <w:r>
              <w:rPr>
                <w:rFonts w:ascii="Arial" w:cs="Arial" w:eastAsia="Arial" w:hAnsi="Arial"/>
                <w:sz w:val="12"/>
                <w:szCs w:val="12"/>
                <w:color w:val="auto"/>
              </w:rPr>
              <w:t>Compensation Committee Chair</w:t>
            </w:r>
          </w:p>
        </w:tc>
        <w:tc>
          <w:tcPr>
            <w:tcW w:w="29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25,000</w:t>
            </w:r>
          </w:p>
        </w:tc>
        <w:tc>
          <w:tcPr>
            <w:tcW w:w="1820" w:type="dxa"/>
            <w:vAlign w:val="bottom"/>
            <w:shd w:val="clear" w:color="auto" w:fill="D9D9D9"/>
          </w:tcPr>
          <w:p>
            <w:pPr>
              <w:spacing w:after="0"/>
              <w:rPr>
                <w:sz w:val="16"/>
                <w:szCs w:val="16"/>
                <w:color w:val="auto"/>
              </w:rPr>
            </w:pPr>
          </w:p>
        </w:tc>
      </w:tr>
      <w:tr>
        <w:trPr>
          <w:trHeight w:val="172"/>
        </w:trPr>
        <w:tc>
          <w:tcPr>
            <w:tcW w:w="6580" w:type="dxa"/>
            <w:vAlign w:val="bottom"/>
            <w:gridSpan w:val="2"/>
          </w:tcPr>
          <w:p>
            <w:pPr>
              <w:ind w:left="160"/>
              <w:spacing w:after="0"/>
              <w:rPr>
                <w:sz w:val="20"/>
                <w:szCs w:val="20"/>
                <w:color w:val="auto"/>
              </w:rPr>
            </w:pPr>
            <w:r>
              <w:rPr>
                <w:rFonts w:ascii="Arial" w:cs="Arial" w:eastAsia="Arial" w:hAnsi="Arial"/>
                <w:sz w:val="12"/>
                <w:szCs w:val="12"/>
                <w:color w:val="auto"/>
              </w:rPr>
              <w:t>Compensation Committee Member</w:t>
            </w:r>
          </w:p>
        </w:tc>
        <w:tc>
          <w:tcPr>
            <w:tcW w:w="2900" w:type="dxa"/>
            <w:vAlign w:val="bottom"/>
          </w:tcPr>
          <w:p>
            <w:pPr>
              <w:jc w:val="right"/>
              <w:spacing w:after="0"/>
              <w:rPr>
                <w:sz w:val="20"/>
                <w:szCs w:val="20"/>
                <w:color w:val="auto"/>
              </w:rPr>
            </w:pPr>
            <w:r>
              <w:rPr>
                <w:rFonts w:ascii="Arial" w:cs="Arial" w:eastAsia="Arial" w:hAnsi="Arial"/>
                <w:sz w:val="12"/>
                <w:szCs w:val="12"/>
                <w:color w:val="auto"/>
              </w:rPr>
              <w:t>10,000</w:t>
            </w:r>
          </w:p>
        </w:tc>
        <w:tc>
          <w:tcPr>
            <w:tcW w:w="1820" w:type="dxa"/>
            <w:vAlign w:val="bottom"/>
          </w:tcPr>
          <w:p>
            <w:pPr>
              <w:spacing w:after="0"/>
              <w:rPr>
                <w:sz w:val="14"/>
                <w:szCs w:val="14"/>
                <w:color w:val="auto"/>
              </w:rPr>
            </w:pPr>
          </w:p>
        </w:tc>
      </w:tr>
      <w:tr>
        <w:trPr>
          <w:trHeight w:val="188"/>
        </w:trPr>
        <w:tc>
          <w:tcPr>
            <w:tcW w:w="6580" w:type="dxa"/>
            <w:vAlign w:val="bottom"/>
            <w:gridSpan w:val="2"/>
            <w:shd w:val="clear" w:color="auto" w:fill="D9D9D9"/>
          </w:tcPr>
          <w:p>
            <w:pPr>
              <w:ind w:left="160"/>
              <w:spacing w:after="0"/>
              <w:rPr>
                <w:sz w:val="20"/>
                <w:szCs w:val="20"/>
                <w:color w:val="auto"/>
              </w:rPr>
            </w:pPr>
            <w:r>
              <w:rPr>
                <w:rFonts w:ascii="Arial" w:cs="Arial" w:eastAsia="Arial" w:hAnsi="Arial"/>
                <w:sz w:val="12"/>
                <w:szCs w:val="12"/>
                <w:color w:val="auto"/>
              </w:rPr>
              <w:t>Nominating and Corporate Governance Committee Chair</w:t>
            </w:r>
          </w:p>
        </w:tc>
        <w:tc>
          <w:tcPr>
            <w:tcW w:w="29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25,000</w:t>
            </w:r>
          </w:p>
        </w:tc>
        <w:tc>
          <w:tcPr>
            <w:tcW w:w="1820" w:type="dxa"/>
            <w:vAlign w:val="bottom"/>
            <w:shd w:val="clear" w:color="auto" w:fill="D9D9D9"/>
          </w:tcPr>
          <w:p>
            <w:pPr>
              <w:spacing w:after="0"/>
              <w:rPr>
                <w:sz w:val="16"/>
                <w:szCs w:val="16"/>
                <w:color w:val="auto"/>
              </w:rPr>
            </w:pPr>
          </w:p>
        </w:tc>
      </w:tr>
      <w:tr>
        <w:trPr>
          <w:trHeight w:val="172"/>
        </w:trPr>
        <w:tc>
          <w:tcPr>
            <w:tcW w:w="6580" w:type="dxa"/>
            <w:vAlign w:val="bottom"/>
            <w:gridSpan w:val="2"/>
          </w:tcPr>
          <w:p>
            <w:pPr>
              <w:ind w:left="160"/>
              <w:spacing w:after="0"/>
              <w:rPr>
                <w:sz w:val="20"/>
                <w:szCs w:val="20"/>
                <w:color w:val="auto"/>
              </w:rPr>
            </w:pPr>
            <w:r>
              <w:rPr>
                <w:rFonts w:ascii="Arial" w:cs="Arial" w:eastAsia="Arial" w:hAnsi="Arial"/>
                <w:sz w:val="12"/>
                <w:szCs w:val="12"/>
                <w:color w:val="auto"/>
              </w:rPr>
              <w:t>Nominating and Corporate Governance Committee Member</w:t>
            </w:r>
          </w:p>
        </w:tc>
        <w:tc>
          <w:tcPr>
            <w:tcW w:w="2900" w:type="dxa"/>
            <w:vAlign w:val="bottom"/>
          </w:tcPr>
          <w:p>
            <w:pPr>
              <w:jc w:val="right"/>
              <w:spacing w:after="0"/>
              <w:rPr>
                <w:sz w:val="20"/>
                <w:szCs w:val="20"/>
                <w:color w:val="auto"/>
              </w:rPr>
            </w:pPr>
            <w:r>
              <w:rPr>
                <w:rFonts w:ascii="Arial" w:cs="Arial" w:eastAsia="Arial" w:hAnsi="Arial"/>
                <w:sz w:val="12"/>
                <w:szCs w:val="12"/>
                <w:color w:val="auto"/>
              </w:rPr>
              <w:t>10,000</w:t>
            </w:r>
          </w:p>
        </w:tc>
        <w:tc>
          <w:tcPr>
            <w:tcW w:w="1820" w:type="dxa"/>
            <w:vAlign w:val="bottom"/>
          </w:tcPr>
          <w:p>
            <w:pPr>
              <w:spacing w:after="0"/>
              <w:rPr>
                <w:sz w:val="14"/>
                <w:szCs w:val="14"/>
                <w:color w:val="auto"/>
              </w:rPr>
            </w:pPr>
          </w:p>
        </w:tc>
      </w:tr>
      <w:tr>
        <w:trPr>
          <w:trHeight w:val="188"/>
        </w:trPr>
        <w:tc>
          <w:tcPr>
            <w:tcW w:w="6580" w:type="dxa"/>
            <w:vAlign w:val="bottom"/>
            <w:gridSpan w:val="2"/>
            <w:shd w:val="clear" w:color="auto" w:fill="D9D9D9"/>
          </w:tcPr>
          <w:p>
            <w:pPr>
              <w:spacing w:after="0"/>
              <w:rPr>
                <w:sz w:val="20"/>
                <w:szCs w:val="20"/>
                <w:color w:val="auto"/>
              </w:rPr>
            </w:pPr>
            <w:r>
              <w:rPr>
                <w:rFonts w:ascii="Arial" w:cs="Arial" w:eastAsia="Arial" w:hAnsi="Arial"/>
                <w:sz w:val="12"/>
                <w:szCs w:val="12"/>
                <w:b w:val="1"/>
                <w:bCs w:val="1"/>
                <w:color w:val="05445E"/>
              </w:rPr>
              <w:t>Annual Equity Grant Board of Directors Chair</w:t>
            </w:r>
          </w:p>
        </w:tc>
        <w:tc>
          <w:tcPr>
            <w:tcW w:w="29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135,000</w:t>
            </w:r>
          </w:p>
        </w:tc>
        <w:tc>
          <w:tcPr>
            <w:tcW w:w="1820" w:type="dxa"/>
            <w:vAlign w:val="bottom"/>
            <w:shd w:val="clear" w:color="auto" w:fill="D9D9D9"/>
          </w:tcPr>
          <w:p>
            <w:pPr>
              <w:jc w:val="right"/>
              <w:ind w:right="1661"/>
              <w:spacing w:after="0"/>
              <w:rPr>
                <w:sz w:val="20"/>
                <w:szCs w:val="20"/>
                <w:color w:val="auto"/>
              </w:rPr>
            </w:pPr>
            <w:r>
              <w:rPr>
                <w:rFonts w:ascii="Arial" w:cs="Arial" w:eastAsia="Arial" w:hAnsi="Arial"/>
                <w:sz w:val="8"/>
                <w:szCs w:val="8"/>
                <w:color w:val="auto"/>
              </w:rPr>
              <w:t>(1)</w:t>
            </w:r>
          </w:p>
        </w:tc>
      </w:tr>
      <w:tr>
        <w:trPr>
          <w:trHeight w:val="175"/>
        </w:trPr>
        <w:tc>
          <w:tcPr>
            <w:tcW w:w="6580" w:type="dxa"/>
            <w:vAlign w:val="bottom"/>
            <w:gridSpan w:val="2"/>
          </w:tcPr>
          <w:p>
            <w:pPr>
              <w:spacing w:after="0"/>
              <w:rPr>
                <w:sz w:val="20"/>
                <w:szCs w:val="20"/>
                <w:color w:val="auto"/>
              </w:rPr>
            </w:pPr>
            <w:r>
              <w:rPr>
                <w:rFonts w:ascii="Arial" w:cs="Arial" w:eastAsia="Arial" w:hAnsi="Arial"/>
                <w:sz w:val="12"/>
                <w:szCs w:val="12"/>
                <w:b w:val="1"/>
                <w:bCs w:val="1"/>
                <w:color w:val="05445E"/>
              </w:rPr>
              <w:t>Annual Equity Grant</w:t>
            </w:r>
          </w:p>
        </w:tc>
        <w:tc>
          <w:tcPr>
            <w:tcW w:w="2900" w:type="dxa"/>
            <w:vAlign w:val="bottom"/>
          </w:tcPr>
          <w:p>
            <w:pPr>
              <w:jc w:val="right"/>
              <w:spacing w:after="0"/>
              <w:rPr>
                <w:sz w:val="20"/>
                <w:szCs w:val="20"/>
                <w:color w:val="auto"/>
              </w:rPr>
            </w:pPr>
            <w:r>
              <w:rPr>
                <w:rFonts w:ascii="Arial" w:cs="Arial" w:eastAsia="Arial" w:hAnsi="Arial"/>
                <w:sz w:val="12"/>
                <w:szCs w:val="12"/>
                <w:color w:val="auto"/>
              </w:rPr>
              <w:t>115,000</w:t>
            </w:r>
          </w:p>
        </w:tc>
        <w:tc>
          <w:tcPr>
            <w:tcW w:w="1820" w:type="dxa"/>
            <w:vAlign w:val="bottom"/>
          </w:tcPr>
          <w:p>
            <w:pPr>
              <w:jc w:val="right"/>
              <w:ind w:right="1661"/>
              <w:spacing w:after="0"/>
              <w:rPr>
                <w:sz w:val="20"/>
                <w:szCs w:val="20"/>
                <w:color w:val="auto"/>
              </w:rPr>
            </w:pPr>
            <w:r>
              <w:rPr>
                <w:rFonts w:ascii="Arial" w:cs="Arial" w:eastAsia="Arial" w:hAnsi="Arial"/>
                <w:sz w:val="8"/>
                <w:szCs w:val="8"/>
                <w:color w:val="auto"/>
              </w:rPr>
              <w:t>(1)</w:t>
            </w:r>
          </w:p>
        </w:tc>
      </w:tr>
      <w:tr>
        <w:trPr>
          <w:trHeight w:val="185"/>
        </w:trPr>
        <w:tc>
          <w:tcPr>
            <w:tcW w:w="6580" w:type="dxa"/>
            <w:vAlign w:val="bottom"/>
            <w:gridSpan w:val="2"/>
            <w:shd w:val="clear" w:color="auto" w:fill="D9D9D9"/>
          </w:tcPr>
          <w:p>
            <w:pPr>
              <w:spacing w:after="0"/>
              <w:rPr>
                <w:sz w:val="20"/>
                <w:szCs w:val="20"/>
                <w:color w:val="auto"/>
              </w:rPr>
            </w:pPr>
            <w:r>
              <w:rPr>
                <w:rFonts w:ascii="Arial" w:cs="Arial" w:eastAsia="Arial" w:hAnsi="Arial"/>
                <w:sz w:val="12"/>
                <w:szCs w:val="12"/>
                <w:b w:val="1"/>
                <w:bCs w:val="1"/>
                <w:color w:val="05445E"/>
              </w:rPr>
              <w:t>Charitable Matching Contributions Program</w:t>
            </w:r>
          </w:p>
        </w:tc>
        <w:tc>
          <w:tcPr>
            <w:tcW w:w="472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$2,000 maximum aggregate annual match</w:t>
            </w:r>
          </w:p>
        </w:tc>
      </w:tr>
      <w:tr>
        <w:trPr>
          <w:trHeight w:val="209"/>
        </w:trPr>
        <w:tc>
          <w:tcPr>
            <w:tcW w:w="6480" w:type="dxa"/>
            <w:vAlign w:val="bottom"/>
          </w:tcPr>
          <w:p>
            <w:pPr>
              <w:spacing w:after="0"/>
              <w:rPr>
                <w:sz w:val="20"/>
                <w:szCs w:val="20"/>
                <w:color w:val="auto"/>
              </w:rPr>
            </w:pPr>
            <w:r>
              <w:rPr>
                <w:rFonts w:ascii="Arial" w:cs="Arial" w:eastAsia="Arial" w:hAnsi="Arial"/>
                <w:sz w:val="12"/>
                <w:szCs w:val="12"/>
                <w:color w:val="auto"/>
              </w:rPr>
              <w:t>_________________</w:t>
            </w: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r>
    </w:tbl>
    <w:p>
      <w:pPr>
        <w:spacing w:after="0" w:line="57" w:lineRule="exact"/>
        <w:rPr>
          <w:sz w:val="20"/>
          <w:szCs w:val="20"/>
          <w:color w:val="auto"/>
        </w:rPr>
      </w:pPr>
    </w:p>
    <w:p>
      <w:pPr>
        <w:jc w:val="both"/>
        <w:ind w:left="328" w:hanging="328"/>
        <w:spacing w:after="0" w:line="268" w:lineRule="auto"/>
        <w:tabs>
          <w:tab w:leader="none" w:pos="322"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On June 25, 2025, we granted a restricted stock award of 3,468 shares to Mr. Nolan, while he served as Independent Chair of our Board, having a value of approximately $135,000 on the date of grant, and restricted stock awards of 2,954 shares to each other non-employee director having a value of approximately $115,000 on the date of grant. The awards vest over three years in equal annual installments on the anniversaries of the grant date. See “Fiscal 2026 Non-Employee Director Compensation Table” beginning on page </w:t>
      </w:r>
      <w:r>
        <w:rPr>
          <w:rFonts w:ascii="Arial" w:cs="Arial" w:eastAsia="Arial" w:hAnsi="Arial"/>
          <w:sz w:val="12"/>
          <w:szCs w:val="12"/>
          <w:u w:val="single" w:color="auto"/>
          <w:color w:val="0000FF"/>
        </w:rPr>
        <w:t>31</w:t>
      </w:r>
      <w:r>
        <w:rPr>
          <w:rFonts w:ascii="Arial" w:cs="Arial" w:eastAsia="Arial" w:hAnsi="Arial"/>
          <w:sz w:val="12"/>
          <w:szCs w:val="12"/>
          <w:color w:val="auto"/>
        </w:rPr>
        <w:t xml:space="preserve"> for additional details.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5445E"/>
        </w:rPr>
        <w:t>Annual Equity Awards</w:t>
      </w:r>
    </w:p>
    <w:p>
      <w:pPr>
        <w:spacing w:after="0" w:line="150" w:lineRule="exact"/>
        <w:rPr>
          <w:sz w:val="20"/>
          <w:szCs w:val="20"/>
          <w:color w:val="auto"/>
        </w:rPr>
      </w:pPr>
    </w:p>
    <w:p>
      <w:pPr>
        <w:jc w:val="both"/>
        <w:ind w:left="8"/>
        <w:spacing w:after="0" w:line="245" w:lineRule="auto"/>
        <w:rPr>
          <w:sz w:val="20"/>
          <w:szCs w:val="20"/>
          <w:color w:val="auto"/>
        </w:rPr>
      </w:pPr>
      <w:r>
        <w:rPr>
          <w:rFonts w:ascii="Arial" w:cs="Arial" w:eastAsia="Arial" w:hAnsi="Arial"/>
          <w:sz w:val="12"/>
          <w:szCs w:val="12"/>
          <w:color w:val="auto"/>
        </w:rPr>
        <w:t>Annual equity awards to non-employee directors, which may be restricted stock or restricted stock units, are issued pursuant to our 2019 Director Stock Plan. Each non-employee director receives a prorated award on or about the date they are first elected to our Board and annually on or about the date of our annual meeting of shareholders if their term continues after such meeting. The dollar value of the award is determined by our Board of Directors in June of each year, after recommendation by our Nominating and Corporate Governance Committee and in consideration of various factors, including market data and trends. We target the equity-based compensation received by non-employee directors at approximately the 50</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percentile of our peer group of companies. Equity awards generally vest in equal annual installments over a three-year vesting period. Upon issuance of restricted stock, each holder is entitled to the rights of a shareholder, including the right to vote the shares of restricted stock. For restricted stock awards made pursuant to our 2019 Director Stock Plan,</w:t>
      </w:r>
    </w:p>
    <w:p>
      <w:pPr>
        <w:spacing w:after="0" w:line="3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2"/>
          <w:szCs w:val="12"/>
          <w:color w:val="auto"/>
        </w:rPr>
        <w:t>dividends or other distributions (whether cash, stock or otherwise) will accrue during the vesting period and will be paid only upon vesting. Awards will be forfeited upon the termination of a director’s service, unless the director is terminated by the Company due to retirement, death or disability, in which case restricted stock will accelerate and vest. If a change in control (as defined in the 2019 Director Stock Plan) occurs, any award shall vest immediately.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Director Deferred Compensation Arrangements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Deferral of Equity Awards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lieu of receiving a restricted stock award, non-employee directors have the option to receive a deferred restricted stock unit award, pursuant to the Restricted Stock Deferral Program adopted by our Board under our 2019 Director Stock Plan. By electing to receive a deferred restricted stock unit award, a director can defer receipt of all or a portion of any award. Each non-employee director who receives a deferred restricted stock unit award in lieu of an award receives a credit of shares of our common stock in an amount equal to the number of shares or units they would have received pursuant to the award. The account is also credited, as of the crediting date, with an amount equal to the dividend paid on one share of our common stock multiplied by the number of shares or units credited to each account. Non-employee directors receiving a deferred restricted stock unit award may elect to receive the amounts credited to their account at a fixed date, at age 70, or following death or retirement from our Board of Directors. The deferred restricted stock unit awards and related accumulated dividends are paid out in the form of shares of our common stock (plus cash in lieu of fractional shares) either in a lump sum or in installments, at the participating director’s election. This is an unfunded book-entry plan and no trust or other vehicle has been established to hold any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Deferral of Cash Retainers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Under our prior Deferred Compensation Plan for Non-Employee Directors, which was in effect through December 31, 2021, participants could elect to defer all or a portion of their annual cash retainer into deferred stock accounts. There was no Company match on amounts deferred by our non-employee directors under such plan. Each participating director received a credit of shares of our common stock in an amount equal to the amount of annual cash retainer deferred divided by the fair market value of one share of our common stock as of the crediting date. These accounts also were credited, as of the crediting date, with an amount equal to the dividend paid on one share of our common stock multiplied by the number of shares credited to each account. Participating directors may elect to receive the amounts credited to their accounts at a fixed date, at age 70, or following death or retirement from our Board of Directors. The deferred amounts are paid out in the form of shares of our common stock (plus cash in lieu of fractional shares) either in a lump sum or in installments, at the participating director’s election. This plan is an unfunded, book-entry, “phantom stock unit” plan, as no trust or other vehicle has been established to hold any shares of our common stock.</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Effective as of January 1, 2022, non-employee directors could elect to defer all or a portion of their annual cash retainer into the 2021 Deferred Compensation Plan for Non-Employee Directors. Under this plan, we credit a participant’s plan account with earnings based on the participant’s investment allocation among a menu of hypothetical investment fund options. An Apogee common stock fund is not one of the investment options available under this plan. Participants may elect to receive the amounts credited to their accounts at a fixed date or following retirement from our Board of Directors. Like the prior plan, all amounts paid under this plan are paid from our general assets and are subject to the claims of our creditors. The material terms of this plan are otherwise comparable to those of the prior plan.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Charitable Matching Contributions Program for Non-Employee Directors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Under our Charitable Matching Contributions Program for Non-Employee Directors, we match cash or publicly traded stock contributions made by our non-employee directors to approved charitable organizations that are exempt from federal income tax up to a maximum aggregate amount of $2,000 per eligible non-employee director per calendar year.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34" w:name="page35"/>
    <w:bookmarkEnd w:id="34"/>
    <w:tbl>
      <w:tblPr>
        <w:tblLayout w:type="fixed"/>
        <w:tblInd w:w="8" w:type="dxa"/>
        <w:tblCellMar>
          <w:top w:w="0" w:type="dxa"/>
          <w:left w:w="0" w:type="dxa"/>
          <w:bottom w:w="0" w:type="dxa"/>
          <w:right w:w="0" w:type="dxa"/>
        </w:tblCellMar>
      </w:tblPr>
      <w:tr>
        <w:trPr>
          <w:trHeight w:val="165"/>
        </w:trPr>
        <w:tc>
          <w:tcPr>
            <w:tcW w:w="5080" w:type="dxa"/>
            <w:vAlign w:val="bottom"/>
            <w:gridSpan w:val="5"/>
          </w:tcPr>
          <w:p>
            <w:pPr>
              <w:spacing w:after="0"/>
              <w:rPr>
                <w:sz w:val="20"/>
                <w:szCs w:val="20"/>
                <w:color w:val="auto"/>
              </w:rPr>
            </w:pPr>
            <w:r>
              <w:rPr>
                <w:rFonts w:ascii="Arial" w:cs="Arial" w:eastAsia="Arial" w:hAnsi="Arial"/>
                <w:sz w:val="12"/>
                <w:szCs w:val="12"/>
                <w:b w:val="1"/>
                <w:bCs w:val="1"/>
                <w:color w:val="05445E"/>
              </w:rPr>
              <w:t>Fiscal 2026 Non-Employee Director Compensation Table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82"/>
        </w:trPr>
        <w:tc>
          <w:tcPr>
            <w:tcW w:w="5080" w:type="dxa"/>
            <w:vAlign w:val="bottom"/>
            <w:gridSpan w:val="5"/>
          </w:tcPr>
          <w:p>
            <w:pPr>
              <w:spacing w:after="0"/>
              <w:rPr>
                <w:sz w:val="20"/>
                <w:szCs w:val="20"/>
                <w:color w:val="auto"/>
              </w:rPr>
            </w:pPr>
            <w:r>
              <w:rPr>
                <w:rFonts w:ascii="Arial" w:cs="Arial" w:eastAsia="Arial" w:hAnsi="Arial"/>
                <w:sz w:val="12"/>
                <w:szCs w:val="12"/>
                <w:color w:val="auto"/>
              </w:rPr>
              <w:t>The following table shows the compensation paid to our non-employee directors for fiscal 2026.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09"/>
        </w:trPr>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05445E"/>
                <w:w w:val="97"/>
              </w:rPr>
              <w:t>Stock</w:t>
            </w: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41"/>
        </w:trPr>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3"/>
          </w:tcPr>
          <w:p>
            <w:pPr>
              <w:ind w:left="420"/>
              <w:spacing w:after="0"/>
              <w:rPr>
                <w:sz w:val="20"/>
                <w:szCs w:val="20"/>
                <w:color w:val="auto"/>
              </w:rPr>
            </w:pPr>
            <w:r>
              <w:rPr>
                <w:rFonts w:ascii="Arial" w:cs="Arial" w:eastAsia="Arial" w:hAnsi="Arial"/>
                <w:sz w:val="12"/>
                <w:szCs w:val="12"/>
                <w:b w:val="1"/>
                <w:bCs w:val="1"/>
                <w:color w:val="05445E"/>
              </w:rPr>
              <w:t>Fees Earned or</w:t>
            </w:r>
          </w:p>
        </w:tc>
        <w:tc>
          <w:tcPr>
            <w:tcW w:w="11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05445E"/>
                <w:w w:val="96"/>
              </w:rPr>
              <w:t>Awards</w:t>
            </w:r>
          </w:p>
        </w:tc>
        <w:tc>
          <w:tcPr>
            <w:tcW w:w="2040" w:type="dxa"/>
            <w:vAlign w:val="bottom"/>
            <w:gridSpan w:val="2"/>
          </w:tcPr>
          <w:p>
            <w:pPr>
              <w:ind w:left="280"/>
              <w:spacing w:after="0"/>
              <w:rPr>
                <w:sz w:val="20"/>
                <w:szCs w:val="20"/>
                <w:color w:val="auto"/>
              </w:rPr>
            </w:pPr>
            <w:r>
              <w:rPr>
                <w:rFonts w:ascii="Arial" w:cs="Arial" w:eastAsia="Arial" w:hAnsi="Arial"/>
                <w:sz w:val="12"/>
                <w:szCs w:val="12"/>
                <w:b w:val="1"/>
                <w:bCs w:val="1"/>
                <w:color w:val="05445E"/>
              </w:rPr>
              <w:t>All Other Compensation</w:t>
            </w:r>
          </w:p>
        </w:tc>
        <w:tc>
          <w:tcPr>
            <w:tcW w:w="2320" w:type="dxa"/>
            <w:vAlign w:val="bottom"/>
          </w:tcPr>
          <w:p>
            <w:pPr>
              <w:ind w:left="1000"/>
              <w:spacing w:after="0"/>
              <w:rPr>
                <w:sz w:val="20"/>
                <w:szCs w:val="20"/>
                <w:color w:val="auto"/>
              </w:rPr>
            </w:pPr>
            <w:r>
              <w:rPr>
                <w:rFonts w:ascii="Arial" w:cs="Arial" w:eastAsia="Arial" w:hAnsi="Arial"/>
                <w:sz w:val="12"/>
                <w:szCs w:val="12"/>
                <w:b w:val="1"/>
                <w:bCs w:val="1"/>
                <w:color w:val="05445E"/>
              </w:rPr>
              <w:t>Total</w:t>
            </w:r>
          </w:p>
        </w:tc>
      </w:tr>
      <w:tr>
        <w:trPr>
          <w:trHeight w:val="178"/>
        </w:trPr>
        <w:tc>
          <w:tcPr>
            <w:tcW w:w="248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Name</w:t>
            </w:r>
          </w:p>
        </w:tc>
        <w:tc>
          <w:tcPr>
            <w:tcW w:w="200" w:type="dxa"/>
            <w:vAlign w:val="bottom"/>
            <w:tcBorders>
              <w:bottom w:val="single" w:sz="8" w:color="DBDBDB"/>
            </w:tcBorders>
          </w:tcPr>
          <w:p>
            <w:pPr>
              <w:spacing w:after="0"/>
              <w:rPr>
                <w:sz w:val="15"/>
                <w:szCs w:val="15"/>
                <w:color w:val="auto"/>
              </w:rPr>
            </w:pPr>
          </w:p>
        </w:tc>
        <w:tc>
          <w:tcPr>
            <w:tcW w:w="1720" w:type="dxa"/>
            <w:vAlign w:val="bottom"/>
            <w:tcBorders>
              <w:bottom w:val="single" w:sz="8" w:color="929292"/>
            </w:tcBorders>
          </w:tcPr>
          <w:p>
            <w:pPr>
              <w:jc w:val="right"/>
              <w:ind w:right="300"/>
              <w:spacing w:after="0"/>
              <w:rPr>
                <w:sz w:val="20"/>
                <w:szCs w:val="20"/>
                <w:color w:val="auto"/>
              </w:rPr>
            </w:pPr>
            <w:r>
              <w:rPr>
                <w:rFonts w:ascii="Arial" w:cs="Arial" w:eastAsia="Arial" w:hAnsi="Arial"/>
                <w:sz w:val="12"/>
                <w:szCs w:val="12"/>
                <w:b w:val="1"/>
                <w:bCs w:val="1"/>
                <w:color w:val="05445E"/>
              </w:rPr>
              <w:t>Paid in Cash ($)</w:t>
            </w:r>
            <w:r>
              <w:rPr>
                <w:rFonts w:ascii="Arial" w:cs="Arial" w:eastAsia="Arial" w:hAnsi="Arial"/>
                <w:sz w:val="15"/>
                <w:szCs w:val="15"/>
                <w:b w:val="1"/>
                <w:bCs w:val="1"/>
                <w:color w:val="05445E"/>
                <w:vertAlign w:val="superscript"/>
              </w:rPr>
              <w:t>(1)</w:t>
            </w:r>
          </w:p>
        </w:tc>
        <w:tc>
          <w:tcPr>
            <w:tcW w:w="140" w:type="dxa"/>
            <w:vAlign w:val="bottom"/>
            <w:tcBorders>
              <w:bottom w:val="single" w:sz="8" w:color="DBDBDB"/>
            </w:tcBorders>
          </w:tcPr>
          <w:p>
            <w:pPr>
              <w:spacing w:after="0"/>
              <w:rPr>
                <w:sz w:val="15"/>
                <w:szCs w:val="15"/>
                <w:color w:val="auto"/>
              </w:rPr>
            </w:pPr>
          </w:p>
        </w:tc>
        <w:tc>
          <w:tcPr>
            <w:tcW w:w="540" w:type="dxa"/>
            <w:vAlign w:val="bottom"/>
            <w:tcBorders>
              <w:bottom w:val="single" w:sz="8" w:color="929292"/>
            </w:tcBorders>
          </w:tcPr>
          <w:p>
            <w:pPr>
              <w:spacing w:after="0"/>
              <w:rPr>
                <w:sz w:val="15"/>
                <w:szCs w:val="15"/>
                <w:color w:val="auto"/>
              </w:rPr>
            </w:pPr>
          </w:p>
        </w:tc>
        <w:tc>
          <w:tcPr>
            <w:tcW w:w="1040" w:type="dxa"/>
            <w:vAlign w:val="bottom"/>
            <w:tcBorders>
              <w:bottom w:val="single" w:sz="8" w:color="929292"/>
            </w:tcBorders>
          </w:tcPr>
          <w:p>
            <w:pPr>
              <w:jc w:val="center"/>
              <w:ind w:right="460"/>
              <w:spacing w:after="0"/>
              <w:rPr>
                <w:sz w:val="20"/>
                <w:szCs w:val="20"/>
                <w:color w:val="auto"/>
              </w:rPr>
            </w:pPr>
            <w:r>
              <w:rPr>
                <w:rFonts w:ascii="Arial" w:cs="Arial" w:eastAsia="Arial" w:hAnsi="Arial"/>
                <w:sz w:val="12"/>
                <w:szCs w:val="12"/>
                <w:b w:val="1"/>
                <w:bCs w:val="1"/>
                <w:color w:val="05445E"/>
                <w:w w:val="89"/>
              </w:rPr>
              <w:t>($)</w:t>
            </w:r>
            <w:r>
              <w:rPr>
                <w:rFonts w:ascii="Arial" w:cs="Arial" w:eastAsia="Arial" w:hAnsi="Arial"/>
                <w:sz w:val="15"/>
                <w:szCs w:val="15"/>
                <w:b w:val="1"/>
                <w:bCs w:val="1"/>
                <w:color w:val="05445E"/>
                <w:w w:val="89"/>
                <w:vertAlign w:val="superscript"/>
              </w:rPr>
              <w:t>(2)</w:t>
            </w:r>
          </w:p>
        </w:tc>
        <w:tc>
          <w:tcPr>
            <w:tcW w:w="100" w:type="dxa"/>
            <w:vAlign w:val="bottom"/>
            <w:tcBorders>
              <w:bottom w:val="single" w:sz="8" w:color="DBDBDB"/>
            </w:tcBorders>
          </w:tcPr>
          <w:p>
            <w:pPr>
              <w:spacing w:after="0"/>
              <w:rPr>
                <w:sz w:val="15"/>
                <w:szCs w:val="15"/>
                <w:color w:val="auto"/>
              </w:rPr>
            </w:pPr>
          </w:p>
        </w:tc>
        <w:tc>
          <w:tcPr>
            <w:tcW w:w="196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89"/>
              </w:rPr>
              <w:t>($)</w:t>
            </w:r>
            <w:r>
              <w:rPr>
                <w:rFonts w:ascii="Arial" w:cs="Arial" w:eastAsia="Arial" w:hAnsi="Arial"/>
                <w:sz w:val="15"/>
                <w:szCs w:val="15"/>
                <w:b w:val="1"/>
                <w:bCs w:val="1"/>
                <w:color w:val="05445E"/>
                <w:w w:val="89"/>
                <w:vertAlign w:val="superscript"/>
              </w:rPr>
              <w:t>(3)</w:t>
            </w:r>
          </w:p>
        </w:tc>
        <w:tc>
          <w:tcPr>
            <w:tcW w:w="80" w:type="dxa"/>
            <w:vAlign w:val="bottom"/>
            <w:tcBorders>
              <w:bottom w:val="single" w:sz="8" w:color="DBDBDB"/>
            </w:tcBorders>
          </w:tcPr>
          <w:p>
            <w:pPr>
              <w:spacing w:after="0"/>
              <w:rPr>
                <w:sz w:val="15"/>
                <w:szCs w:val="15"/>
                <w:color w:val="auto"/>
              </w:rPr>
            </w:pPr>
          </w:p>
        </w:tc>
        <w:tc>
          <w:tcPr>
            <w:tcW w:w="232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5"/>
              </w:rPr>
              <w:t>($)</w:t>
            </w:r>
          </w:p>
        </w:tc>
      </w:tr>
      <w:tr>
        <w:trPr>
          <w:trHeight w:val="169"/>
        </w:trPr>
        <w:tc>
          <w:tcPr>
            <w:tcW w:w="26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Christina M. Alvord</w:t>
            </w:r>
          </w:p>
        </w:tc>
        <w:tc>
          <w:tcPr>
            <w:tcW w:w="17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100,000</w:t>
            </w:r>
          </w:p>
        </w:tc>
        <w:tc>
          <w:tcPr>
            <w:tcW w:w="14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40" w:type="dxa"/>
            <w:vAlign w:val="bottom"/>
            <w:shd w:val="clear" w:color="auto" w:fill="DBDBDB"/>
          </w:tcPr>
          <w:p>
            <w:pPr>
              <w:jc w:val="center"/>
              <w:ind w:right="480"/>
              <w:spacing w:after="0"/>
              <w:rPr>
                <w:sz w:val="20"/>
                <w:szCs w:val="20"/>
                <w:color w:val="auto"/>
              </w:rPr>
            </w:pPr>
            <w:r>
              <w:rPr>
                <w:rFonts w:ascii="Arial" w:cs="Arial" w:eastAsia="Arial" w:hAnsi="Arial"/>
                <w:sz w:val="12"/>
                <w:szCs w:val="12"/>
                <w:color w:val="auto"/>
                <w:w w:val="96"/>
              </w:rPr>
              <w:t>114,999</w:t>
            </w:r>
          </w:p>
        </w:tc>
        <w:tc>
          <w:tcPr>
            <w:tcW w:w="100" w:type="dxa"/>
            <w:vAlign w:val="bottom"/>
            <w:shd w:val="clear" w:color="auto" w:fill="DBDBDB"/>
          </w:tcPr>
          <w:p>
            <w:pPr>
              <w:spacing w:after="0"/>
              <w:rPr>
                <w:sz w:val="14"/>
                <w:szCs w:val="14"/>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2,000</w:t>
            </w:r>
          </w:p>
        </w:tc>
        <w:tc>
          <w:tcPr>
            <w:tcW w:w="80" w:type="dxa"/>
            <w:vAlign w:val="bottom"/>
            <w:shd w:val="clear" w:color="auto" w:fill="DBDBDB"/>
          </w:tcPr>
          <w:p>
            <w:pPr>
              <w:spacing w:after="0"/>
              <w:rPr>
                <w:sz w:val="14"/>
                <w:szCs w:val="14"/>
                <w:color w:val="auto"/>
              </w:rPr>
            </w:pPr>
          </w:p>
        </w:tc>
        <w:tc>
          <w:tcPr>
            <w:tcW w:w="23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216,999</w:t>
            </w:r>
          </w:p>
        </w:tc>
      </w:tr>
      <w:tr>
        <w:trPr>
          <w:trHeight w:val="172"/>
        </w:trPr>
        <w:tc>
          <w:tcPr>
            <w:tcW w:w="2680" w:type="dxa"/>
            <w:vAlign w:val="bottom"/>
            <w:gridSpan w:val="2"/>
          </w:tcPr>
          <w:p>
            <w:pPr>
              <w:spacing w:after="0"/>
              <w:rPr>
                <w:sz w:val="20"/>
                <w:szCs w:val="20"/>
                <w:color w:val="auto"/>
              </w:rPr>
            </w:pPr>
            <w:r>
              <w:rPr>
                <w:rFonts w:ascii="Arial" w:cs="Arial" w:eastAsia="Arial" w:hAnsi="Arial"/>
                <w:sz w:val="12"/>
                <w:szCs w:val="12"/>
                <w:color w:val="auto"/>
              </w:rPr>
              <w:t>Lloyd E. Johnson</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100,000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center"/>
              <w:ind w:right="480"/>
              <w:spacing w:after="0"/>
              <w:rPr>
                <w:sz w:val="20"/>
                <w:szCs w:val="20"/>
                <w:color w:val="auto"/>
              </w:rPr>
            </w:pPr>
            <w:r>
              <w:rPr>
                <w:rFonts w:ascii="Arial" w:cs="Arial" w:eastAsia="Arial" w:hAnsi="Arial"/>
                <w:sz w:val="12"/>
                <w:szCs w:val="12"/>
                <w:color w:val="auto"/>
                <w:w w:val="96"/>
              </w:rPr>
              <w:t>114,999</w:t>
            </w:r>
          </w:p>
        </w:tc>
        <w:tc>
          <w:tcPr>
            <w:tcW w:w="100" w:type="dxa"/>
            <w:vAlign w:val="bottom"/>
          </w:tcPr>
          <w:p>
            <w:pPr>
              <w:spacing w:after="0"/>
              <w:rPr>
                <w:sz w:val="14"/>
                <w:szCs w:val="1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2320" w:type="dxa"/>
            <w:vAlign w:val="bottom"/>
          </w:tcPr>
          <w:p>
            <w:pPr>
              <w:jc w:val="center"/>
              <w:spacing w:after="0"/>
              <w:rPr>
                <w:sz w:val="20"/>
                <w:szCs w:val="20"/>
                <w:color w:val="auto"/>
              </w:rPr>
            </w:pPr>
            <w:r>
              <w:rPr>
                <w:rFonts w:ascii="Arial" w:cs="Arial" w:eastAsia="Arial" w:hAnsi="Arial"/>
                <w:sz w:val="12"/>
                <w:szCs w:val="12"/>
                <w:color w:val="auto"/>
              </w:rPr>
              <w:t>214,999</w:t>
            </w:r>
          </w:p>
        </w:tc>
      </w:tr>
      <w:tr>
        <w:trPr>
          <w:trHeight w:val="188"/>
        </w:trPr>
        <w:tc>
          <w:tcPr>
            <w:tcW w:w="26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Elizabeth M. Lilly</w:t>
            </w:r>
          </w:p>
        </w:tc>
        <w:tc>
          <w:tcPr>
            <w:tcW w:w="17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100,000</w:t>
            </w:r>
          </w:p>
        </w:tc>
        <w:tc>
          <w:tcPr>
            <w:tcW w:w="14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1040" w:type="dxa"/>
            <w:vAlign w:val="bottom"/>
            <w:shd w:val="clear" w:color="auto" w:fill="DBDBDB"/>
          </w:tcPr>
          <w:p>
            <w:pPr>
              <w:jc w:val="center"/>
              <w:ind w:right="480"/>
              <w:spacing w:after="0"/>
              <w:rPr>
                <w:sz w:val="20"/>
                <w:szCs w:val="20"/>
                <w:color w:val="auto"/>
              </w:rPr>
            </w:pPr>
            <w:r>
              <w:rPr>
                <w:rFonts w:ascii="Arial" w:cs="Arial" w:eastAsia="Arial" w:hAnsi="Arial"/>
                <w:sz w:val="12"/>
                <w:szCs w:val="12"/>
                <w:color w:val="auto"/>
                <w:w w:val="96"/>
              </w:rPr>
              <w:t>114,999</w:t>
            </w:r>
          </w:p>
        </w:tc>
        <w:tc>
          <w:tcPr>
            <w:tcW w:w="100" w:type="dxa"/>
            <w:vAlign w:val="bottom"/>
            <w:shd w:val="clear" w:color="auto" w:fill="DBDBDB"/>
          </w:tcPr>
          <w:p>
            <w:pPr>
              <w:spacing w:after="0"/>
              <w:rPr>
                <w:sz w:val="16"/>
                <w:szCs w:val="16"/>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1,500</w:t>
            </w:r>
          </w:p>
        </w:tc>
        <w:tc>
          <w:tcPr>
            <w:tcW w:w="80" w:type="dxa"/>
            <w:vAlign w:val="bottom"/>
            <w:shd w:val="clear" w:color="auto" w:fill="DBDBDB"/>
          </w:tcPr>
          <w:p>
            <w:pPr>
              <w:spacing w:after="0"/>
              <w:rPr>
                <w:sz w:val="16"/>
                <w:szCs w:val="16"/>
                <w:color w:val="auto"/>
              </w:rPr>
            </w:pPr>
          </w:p>
        </w:tc>
        <w:tc>
          <w:tcPr>
            <w:tcW w:w="23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216,499</w:t>
            </w:r>
          </w:p>
        </w:tc>
      </w:tr>
      <w:tr>
        <w:trPr>
          <w:trHeight w:val="180"/>
        </w:trPr>
        <w:tc>
          <w:tcPr>
            <w:tcW w:w="2680" w:type="dxa"/>
            <w:vAlign w:val="bottom"/>
            <w:gridSpan w:val="2"/>
          </w:tcPr>
          <w:p>
            <w:pPr>
              <w:spacing w:after="0"/>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(4)</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101,250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center"/>
              <w:ind w:right="460"/>
              <w:spacing w:after="0"/>
              <w:rPr>
                <w:sz w:val="20"/>
                <w:szCs w:val="20"/>
                <w:color w:val="auto"/>
              </w:rPr>
            </w:pPr>
            <w:r>
              <w:rPr>
                <w:rFonts w:ascii="Arial" w:cs="Arial" w:eastAsia="Arial" w:hAnsi="Arial"/>
                <w:sz w:val="12"/>
                <w:szCs w:val="12"/>
                <w:color w:val="auto"/>
              </w:rPr>
              <w:t>135,009</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2"/>
                <w:szCs w:val="12"/>
                <w:color w:val="auto"/>
                <w:w w:val="99"/>
              </w:rPr>
              <w:t>2,000</w:t>
            </w:r>
          </w:p>
        </w:tc>
        <w:tc>
          <w:tcPr>
            <w:tcW w:w="8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2"/>
                <w:szCs w:val="12"/>
                <w:color w:val="auto"/>
              </w:rPr>
              <w:t>238,259</w:t>
            </w:r>
          </w:p>
        </w:tc>
      </w:tr>
      <w:tr>
        <w:trPr>
          <w:trHeight w:val="180"/>
        </w:trPr>
        <w:tc>
          <w:tcPr>
            <w:tcW w:w="26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Herbert K. Parker</w:t>
            </w:r>
          </w:p>
        </w:tc>
        <w:tc>
          <w:tcPr>
            <w:tcW w:w="17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110,000</w:t>
            </w:r>
          </w:p>
        </w:tc>
        <w:tc>
          <w:tcPr>
            <w:tcW w:w="1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480"/>
              <w:spacing w:after="0"/>
              <w:rPr>
                <w:sz w:val="20"/>
                <w:szCs w:val="20"/>
                <w:color w:val="auto"/>
              </w:rPr>
            </w:pPr>
            <w:r>
              <w:rPr>
                <w:rFonts w:ascii="Arial" w:cs="Arial" w:eastAsia="Arial" w:hAnsi="Arial"/>
                <w:sz w:val="12"/>
                <w:szCs w:val="12"/>
                <w:color w:val="auto"/>
                <w:w w:val="96"/>
              </w:rPr>
              <w:t>114,999</w:t>
            </w:r>
          </w:p>
        </w:tc>
        <w:tc>
          <w:tcPr>
            <w:tcW w:w="100" w:type="dxa"/>
            <w:vAlign w:val="bottom"/>
            <w:shd w:val="clear" w:color="auto" w:fill="DBDBDB"/>
          </w:tcPr>
          <w:p>
            <w:pPr>
              <w:spacing w:after="0"/>
              <w:rPr>
                <w:sz w:val="15"/>
                <w:szCs w:val="15"/>
                <w:color w:val="auto"/>
              </w:rPr>
            </w:pPr>
          </w:p>
        </w:tc>
        <w:tc>
          <w:tcPr>
            <w:tcW w:w="204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9"/>
              </w:rPr>
              <w:t>—</w:t>
            </w:r>
          </w:p>
        </w:tc>
        <w:tc>
          <w:tcPr>
            <w:tcW w:w="23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224,999</w:t>
            </w:r>
          </w:p>
        </w:tc>
      </w:tr>
      <w:tr>
        <w:trPr>
          <w:trHeight w:val="180"/>
        </w:trPr>
        <w:tc>
          <w:tcPr>
            <w:tcW w:w="2680" w:type="dxa"/>
            <w:vAlign w:val="bottom"/>
            <w:gridSpan w:val="2"/>
          </w:tcPr>
          <w:p>
            <w:pPr>
              <w:spacing w:after="0"/>
              <w:rPr>
                <w:sz w:val="20"/>
                <w:szCs w:val="20"/>
                <w:color w:val="auto"/>
              </w:rPr>
            </w:pPr>
            <w:r>
              <w:rPr>
                <w:rFonts w:ascii="Arial" w:cs="Arial" w:eastAsia="Arial" w:hAnsi="Arial"/>
                <w:sz w:val="12"/>
                <w:szCs w:val="12"/>
                <w:color w:val="auto"/>
              </w:rPr>
              <w:t>Mark A. Pompa</w:t>
            </w:r>
            <w:r>
              <w:rPr>
                <w:rFonts w:ascii="Arial" w:cs="Arial" w:eastAsia="Arial" w:hAnsi="Arial"/>
                <w:sz w:val="15"/>
                <w:szCs w:val="15"/>
                <w:color w:val="auto"/>
                <w:vertAlign w:val="superscript"/>
              </w:rPr>
              <w:t>(5)</w:t>
            </w:r>
          </w:p>
        </w:tc>
        <w:tc>
          <w:tcPr>
            <w:tcW w:w="1720" w:type="dxa"/>
            <w:vAlign w:val="bottom"/>
          </w:tcPr>
          <w:p>
            <w:pPr>
              <w:jc w:val="right"/>
              <w:ind w:right="100"/>
              <w:spacing w:after="0"/>
              <w:rPr>
                <w:sz w:val="20"/>
                <w:szCs w:val="20"/>
                <w:color w:val="auto"/>
              </w:rPr>
            </w:pPr>
            <w:r>
              <w:rPr>
                <w:rFonts w:ascii="Arial" w:cs="Arial" w:eastAsia="Arial" w:hAnsi="Arial"/>
                <w:sz w:val="12"/>
                <w:szCs w:val="12"/>
                <w:color w:val="auto"/>
              </w:rPr>
              <w:t>115,000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center"/>
              <w:ind w:right="480"/>
              <w:spacing w:after="0"/>
              <w:rPr>
                <w:sz w:val="20"/>
                <w:szCs w:val="20"/>
                <w:color w:val="auto"/>
              </w:rPr>
            </w:pPr>
            <w:r>
              <w:rPr>
                <w:rFonts w:ascii="Arial" w:cs="Arial" w:eastAsia="Arial" w:hAnsi="Arial"/>
                <w:sz w:val="12"/>
                <w:szCs w:val="12"/>
                <w:color w:val="auto"/>
                <w:w w:val="96"/>
              </w:rPr>
              <w:t>114,999</w:t>
            </w:r>
          </w:p>
        </w:tc>
        <w:tc>
          <w:tcPr>
            <w:tcW w:w="100" w:type="dxa"/>
            <w:vAlign w:val="bottom"/>
          </w:tcPr>
          <w:p>
            <w:pPr>
              <w:spacing w:after="0"/>
              <w:rPr>
                <w:sz w:val="15"/>
                <w:szCs w:val="15"/>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2320" w:type="dxa"/>
            <w:vAlign w:val="bottom"/>
          </w:tcPr>
          <w:p>
            <w:pPr>
              <w:jc w:val="center"/>
              <w:spacing w:after="0"/>
              <w:rPr>
                <w:sz w:val="20"/>
                <w:szCs w:val="20"/>
                <w:color w:val="auto"/>
              </w:rPr>
            </w:pPr>
            <w:r>
              <w:rPr>
                <w:rFonts w:ascii="Arial" w:cs="Arial" w:eastAsia="Arial" w:hAnsi="Arial"/>
                <w:sz w:val="12"/>
                <w:szCs w:val="12"/>
                <w:color w:val="auto"/>
              </w:rPr>
              <w:t>229,999</w:t>
            </w:r>
          </w:p>
        </w:tc>
      </w:tr>
      <w:tr>
        <w:trPr>
          <w:trHeight w:val="180"/>
        </w:trPr>
        <w:tc>
          <w:tcPr>
            <w:tcW w:w="26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Patricia K. Wagner</w:t>
            </w:r>
            <w:r>
              <w:rPr>
                <w:rFonts w:ascii="Arial" w:cs="Arial" w:eastAsia="Arial" w:hAnsi="Arial"/>
                <w:sz w:val="15"/>
                <w:szCs w:val="15"/>
                <w:color w:val="auto"/>
                <w:vertAlign w:val="superscript"/>
              </w:rPr>
              <w:t>(6)</w:t>
            </w:r>
          </w:p>
        </w:tc>
        <w:tc>
          <w:tcPr>
            <w:tcW w:w="17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117,500</w:t>
            </w:r>
          </w:p>
        </w:tc>
        <w:tc>
          <w:tcPr>
            <w:tcW w:w="1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480"/>
              <w:spacing w:after="0"/>
              <w:rPr>
                <w:sz w:val="20"/>
                <w:szCs w:val="20"/>
                <w:color w:val="auto"/>
              </w:rPr>
            </w:pPr>
            <w:r>
              <w:rPr>
                <w:rFonts w:ascii="Arial" w:cs="Arial" w:eastAsia="Arial" w:hAnsi="Arial"/>
                <w:sz w:val="12"/>
                <w:szCs w:val="12"/>
                <w:color w:val="auto"/>
                <w:w w:val="96"/>
              </w:rPr>
              <w:t>114,999</w:t>
            </w:r>
          </w:p>
        </w:tc>
        <w:tc>
          <w:tcPr>
            <w:tcW w:w="100" w:type="dxa"/>
            <w:vAlign w:val="bottom"/>
            <w:shd w:val="clear" w:color="auto" w:fill="DBDBDB"/>
          </w:tcPr>
          <w:p>
            <w:pPr>
              <w:spacing w:after="0"/>
              <w:rPr>
                <w:sz w:val="15"/>
                <w:szCs w:val="15"/>
                <w:color w:val="auto"/>
              </w:rPr>
            </w:pPr>
          </w:p>
        </w:tc>
        <w:tc>
          <w:tcPr>
            <w:tcW w:w="204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9"/>
              </w:rPr>
              <w:t>—</w:t>
            </w:r>
          </w:p>
        </w:tc>
        <w:tc>
          <w:tcPr>
            <w:tcW w:w="23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232,499</w:t>
            </w: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28" w:hanging="328"/>
        <w:spacing w:after="0" w:line="286" w:lineRule="auto"/>
        <w:tabs>
          <w:tab w:leader="none" w:pos="322"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Includes cash retainers, including any retainers deferred by non-employee directors under our 2021 Deferred Compensation Plan for Non-Employee Directors. During fiscal 2026, Messrs. Nolan and Pompa and Ms. Lilly were our only non-employee directors to defer all or a portion of their annual cash retainer pursuant to our 2021 Deferred Compensation Plan for Non-Employee Directors.</w:t>
      </w:r>
    </w:p>
    <w:p>
      <w:pPr>
        <w:spacing w:after="0" w:line="31" w:lineRule="exact"/>
        <w:rPr>
          <w:rFonts w:ascii="Arial" w:cs="Arial" w:eastAsia="Arial" w:hAnsi="Arial"/>
          <w:sz w:val="12"/>
          <w:szCs w:val="12"/>
          <w:color w:val="auto"/>
        </w:rPr>
      </w:pPr>
    </w:p>
    <w:p>
      <w:pPr>
        <w:jc w:val="both"/>
        <w:ind w:left="328" w:hanging="328"/>
        <w:spacing w:after="0" w:line="257" w:lineRule="auto"/>
        <w:tabs>
          <w:tab w:leader="none" w:pos="322"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in this column are calculated based on the fair market value of our common stock on the date the award was made in accordance with Financial Accounting Standards Board Accounting Standards Codification Topic 718 (“FASB ASC Topic 718”). On June 25, 2025, Mr. Nolan, while he served as Independent Chair of our Board, and each of our non-employee directors received a restricted stock award or, if a director elected to defer receipt of all or a portion of their restricted stock award, a deferred restricted stock unit award, of 3,468 shares in the case of Mr. Nolan, and 2,954 shares to all other non-employee directors. The closing price of our common stock on the Nasdaq Global Select Market on June 25, 2025, the date of grant, was $38.93. The table below sets forth certain information with respect to the aggregate number of shares of unvested restricted stock, deferred restricted stock units and deferred phantom stock units including shares from dividends credited to the account, held by our non-employee directors as of February 28, 2026, the last day of fiscal 2026.</w:t>
      </w: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35" w:name="page36"/>
    <w:bookmarkEnd w:id="35"/>
    <w:tbl>
      <w:tblPr>
        <w:tblLayout w:type="fixed"/>
        <w:tblInd w:w="548"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b w:val="1"/>
                <w:bCs w:val="1"/>
                <w:color w:val="05445E"/>
              </w:rPr>
              <w:t>Aggregate</w:t>
            </w:r>
          </w:p>
        </w:tc>
        <w:tc>
          <w:tcPr>
            <w:tcW w:w="100" w:type="dxa"/>
            <w:vAlign w:val="bottom"/>
            <w:tcBorders>
              <w:top w:val="single" w:sz="8" w:color="auto"/>
            </w:tcBorders>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2"/>
                <w:szCs w:val="12"/>
                <w:b w:val="1"/>
                <w:bCs w:val="1"/>
                <w:color w:val="05445E"/>
                <w:w w:val="97"/>
              </w:rPr>
              <w:t>Aggregate</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05445E"/>
              </w:rPr>
              <w:t>Aggregate</w:t>
            </w:r>
          </w:p>
        </w:tc>
      </w:tr>
      <w:tr>
        <w:trPr>
          <w:trHeight w:val="144"/>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5445E"/>
                <w:w w:val="99"/>
              </w:rPr>
              <w:t>Number of</w:t>
            </w:r>
          </w:p>
        </w:tc>
        <w:tc>
          <w:tcPr>
            <w:tcW w:w="1980" w:type="dxa"/>
            <w:vAlign w:val="bottom"/>
            <w:gridSpan w:val="4"/>
          </w:tcPr>
          <w:p>
            <w:pPr>
              <w:jc w:val="center"/>
              <w:ind w:right="340"/>
              <w:spacing w:after="0"/>
              <w:rPr>
                <w:sz w:val="20"/>
                <w:szCs w:val="20"/>
                <w:color w:val="auto"/>
              </w:rPr>
            </w:pPr>
            <w:r>
              <w:rPr>
                <w:rFonts w:ascii="Arial" w:cs="Arial" w:eastAsia="Arial" w:hAnsi="Arial"/>
                <w:sz w:val="12"/>
                <w:szCs w:val="12"/>
                <w:b w:val="1"/>
                <w:bCs w:val="1"/>
                <w:color w:val="05445E"/>
                <w:w w:val="99"/>
              </w:rPr>
              <w:t>Number of</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05445E"/>
                <w:w w:val="99"/>
              </w:rPr>
              <w:t>Number of</w:t>
            </w:r>
          </w:p>
        </w:tc>
      </w:tr>
      <w:tr>
        <w:trPr>
          <w:trHeight w:val="144"/>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5445E"/>
                <w:w w:val="99"/>
              </w:rPr>
              <w:t>Shares</w:t>
            </w:r>
          </w:p>
        </w:tc>
        <w:tc>
          <w:tcPr>
            <w:tcW w:w="198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05445E"/>
              </w:rPr>
              <w:t>Deferred</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05445E"/>
              </w:rPr>
              <w:t>Deferred</w:t>
            </w:r>
          </w:p>
        </w:tc>
      </w:tr>
      <w:tr>
        <w:trPr>
          <w:trHeight w:val="144"/>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5445E"/>
              </w:rPr>
              <w:t>of</w:t>
            </w:r>
          </w:p>
        </w:tc>
        <w:tc>
          <w:tcPr>
            <w:tcW w:w="198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05445E"/>
                <w:w w:val="99"/>
              </w:rPr>
              <w:t>Restricted Stock</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05445E"/>
              </w:rPr>
              <w:t>Phantom Stock</w:t>
            </w:r>
          </w:p>
        </w:tc>
      </w:tr>
      <w:tr>
        <w:trPr>
          <w:trHeight w:val="144"/>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w w:val="99"/>
              </w:rPr>
              <w:t>Restricted Stock</w:t>
            </w:r>
          </w:p>
        </w:tc>
        <w:tc>
          <w:tcPr>
            <w:tcW w:w="198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05445E"/>
                <w:w w:val="99"/>
              </w:rPr>
              <w:t>Units</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05445E"/>
                <w:w w:val="99"/>
              </w:rPr>
              <w:t>Units</w:t>
            </w:r>
          </w:p>
        </w:tc>
      </w:tr>
      <w:tr>
        <w:trPr>
          <w:trHeight w:val="170"/>
        </w:trPr>
        <w:tc>
          <w:tcPr>
            <w:tcW w:w="270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Name</w:t>
            </w:r>
          </w:p>
        </w:tc>
        <w:tc>
          <w:tcPr>
            <w:tcW w:w="80" w:type="dxa"/>
            <w:vAlign w:val="bottom"/>
            <w:tcBorders>
              <w:bottom w:val="single" w:sz="8" w:color="DBDBDB"/>
            </w:tcBorders>
          </w:tcPr>
          <w:p>
            <w:pPr>
              <w:spacing w:after="0"/>
              <w:rPr>
                <w:sz w:val="14"/>
                <w:szCs w:val="14"/>
                <w:color w:val="auto"/>
              </w:rPr>
            </w:pPr>
          </w:p>
        </w:tc>
        <w:tc>
          <w:tcPr>
            <w:tcW w:w="190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100" w:type="dxa"/>
            <w:vAlign w:val="bottom"/>
            <w:tcBorders>
              <w:bottom w:val="single" w:sz="8" w:color="DBDBDB"/>
            </w:tcBorders>
          </w:tcPr>
          <w:p>
            <w:pPr>
              <w:spacing w:after="0"/>
              <w:rPr>
                <w:sz w:val="14"/>
                <w:szCs w:val="14"/>
                <w:color w:val="auto"/>
              </w:rPr>
            </w:pPr>
          </w:p>
        </w:tc>
        <w:tc>
          <w:tcPr>
            <w:tcW w:w="166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160" w:type="dxa"/>
            <w:vAlign w:val="bottom"/>
            <w:tcBorders>
              <w:bottom w:val="single" w:sz="8" w:color="DBDBDB"/>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98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5"/>
              </w:rPr>
              <w:t>(#)</w:t>
            </w:r>
          </w:p>
        </w:tc>
      </w:tr>
      <w:tr>
        <w:trPr>
          <w:trHeight w:val="174"/>
        </w:trPr>
        <w:tc>
          <w:tcPr>
            <w:tcW w:w="27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Christina M. Alvord</w:t>
            </w:r>
          </w:p>
        </w:tc>
        <w:tc>
          <w:tcPr>
            <w:tcW w:w="2000" w:type="dxa"/>
            <w:vAlign w:val="bottom"/>
            <w:gridSpan w:val="2"/>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center"/>
              <w:ind w:right="40"/>
              <w:spacing w:after="0"/>
              <w:rPr>
                <w:sz w:val="20"/>
                <w:szCs w:val="20"/>
                <w:color w:val="auto"/>
              </w:rPr>
            </w:pPr>
            <w:r>
              <w:rPr>
                <w:rFonts w:ascii="Arial" w:cs="Arial" w:eastAsia="Arial" w:hAnsi="Arial"/>
                <w:sz w:val="12"/>
                <w:szCs w:val="12"/>
                <w:color w:val="auto"/>
                <w:w w:val="97"/>
              </w:rPr>
              <w:t>10,455</w:t>
            </w:r>
          </w:p>
        </w:tc>
        <w:tc>
          <w:tcPr>
            <w:tcW w:w="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r>
      <w:tr>
        <w:trPr>
          <w:trHeight w:val="172"/>
        </w:trPr>
        <w:tc>
          <w:tcPr>
            <w:tcW w:w="2780" w:type="dxa"/>
            <w:vAlign w:val="bottom"/>
            <w:gridSpan w:val="2"/>
          </w:tcPr>
          <w:p>
            <w:pPr>
              <w:spacing w:after="0"/>
              <w:rPr>
                <w:sz w:val="20"/>
                <w:szCs w:val="20"/>
                <w:color w:val="auto"/>
              </w:rPr>
            </w:pPr>
            <w:r>
              <w:rPr>
                <w:rFonts w:ascii="Arial" w:cs="Arial" w:eastAsia="Arial" w:hAnsi="Arial"/>
                <w:sz w:val="12"/>
                <w:szCs w:val="12"/>
                <w:color w:val="auto"/>
              </w:rPr>
              <w:t>Lloyd E. Johnson</w:t>
            </w:r>
          </w:p>
        </w:tc>
        <w:tc>
          <w:tcPr>
            <w:tcW w:w="200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1040"/>
              <w:spacing w:after="0"/>
              <w:rPr>
                <w:sz w:val="20"/>
                <w:szCs w:val="20"/>
                <w:color w:val="auto"/>
              </w:rPr>
            </w:pPr>
            <w:r>
              <w:rPr>
                <w:rFonts w:ascii="Arial" w:cs="Arial" w:eastAsia="Arial" w:hAnsi="Arial"/>
                <w:sz w:val="12"/>
                <w:szCs w:val="12"/>
                <w:color w:val="auto"/>
              </w:rPr>
              <w:t>19,111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8"/>
        </w:trPr>
        <w:tc>
          <w:tcPr>
            <w:tcW w:w="27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Elizabeth M. Lilly</w:t>
            </w:r>
          </w:p>
        </w:tc>
        <w:tc>
          <w:tcPr>
            <w:tcW w:w="190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DBDBDB"/>
          </w:tcPr>
          <w:p>
            <w:pPr>
              <w:spacing w:after="0"/>
              <w:rPr>
                <w:sz w:val="16"/>
                <w:szCs w:val="16"/>
                <w:color w:val="auto"/>
              </w:rPr>
            </w:pPr>
          </w:p>
        </w:tc>
        <w:tc>
          <w:tcPr>
            <w:tcW w:w="1660" w:type="dxa"/>
            <w:vAlign w:val="bottom"/>
            <w:shd w:val="clear" w:color="auto" w:fill="DBDBDB"/>
          </w:tcPr>
          <w:p>
            <w:pPr>
              <w:ind w:left="300"/>
              <w:spacing w:after="0"/>
              <w:rPr>
                <w:sz w:val="20"/>
                <w:szCs w:val="20"/>
                <w:color w:val="auto"/>
              </w:rPr>
            </w:pPr>
            <w:r>
              <w:rPr>
                <w:rFonts w:ascii="Arial" w:cs="Arial" w:eastAsia="Arial" w:hAnsi="Arial"/>
                <w:sz w:val="12"/>
                <w:szCs w:val="12"/>
                <w:color w:val="auto"/>
              </w:rPr>
              <w:t>6,845</w:t>
            </w: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780" w:type="dxa"/>
            <w:vAlign w:val="bottom"/>
            <w:gridSpan w:val="2"/>
          </w:tcPr>
          <w:p>
            <w:pPr>
              <w:spacing w:after="0"/>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(4)</w:t>
            </w:r>
          </w:p>
        </w:tc>
        <w:tc>
          <w:tcPr>
            <w:tcW w:w="200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660" w:type="dxa"/>
            <w:vAlign w:val="bottom"/>
          </w:tcPr>
          <w:p>
            <w:pPr>
              <w:ind w:left="300"/>
              <w:spacing w:after="0"/>
              <w:rPr>
                <w:sz w:val="20"/>
                <w:szCs w:val="20"/>
                <w:color w:val="auto"/>
              </w:rPr>
            </w:pPr>
            <w:r>
              <w:rPr>
                <w:rFonts w:ascii="Arial" w:cs="Arial" w:eastAsia="Arial" w:hAnsi="Arial"/>
                <w:sz w:val="12"/>
                <w:szCs w:val="12"/>
                <w:color w:val="auto"/>
              </w:rPr>
              <w:t>30,411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97"/>
              </w:rPr>
              <w:t>10,528</w:t>
            </w:r>
          </w:p>
        </w:tc>
      </w:tr>
      <w:tr>
        <w:trPr>
          <w:trHeight w:val="180"/>
        </w:trPr>
        <w:tc>
          <w:tcPr>
            <w:tcW w:w="27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Herbert K. Parker</w:t>
            </w:r>
          </w:p>
        </w:tc>
        <w:tc>
          <w:tcPr>
            <w:tcW w:w="190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5,019</w:t>
            </w:r>
          </w:p>
        </w:tc>
        <w:tc>
          <w:tcPr>
            <w:tcW w:w="100" w:type="dxa"/>
            <w:vAlign w:val="bottom"/>
            <w:shd w:val="clear" w:color="auto" w:fill="DBDBDB"/>
          </w:tcPr>
          <w:p>
            <w:pPr>
              <w:spacing w:after="0"/>
              <w:rPr>
                <w:sz w:val="15"/>
                <w:szCs w:val="15"/>
                <w:color w:val="auto"/>
              </w:rPr>
            </w:pPr>
          </w:p>
        </w:tc>
        <w:tc>
          <w:tcPr>
            <w:tcW w:w="1980" w:type="dxa"/>
            <w:vAlign w:val="bottom"/>
            <w:gridSpan w:val="4"/>
            <w:shd w:val="clear" w:color="auto" w:fill="DBDBDB"/>
          </w:tcPr>
          <w:p>
            <w:pPr>
              <w:jc w:val="center"/>
              <w:ind w:right="420"/>
              <w:spacing w:after="0"/>
              <w:rPr>
                <w:sz w:val="20"/>
                <w:szCs w:val="20"/>
                <w:color w:val="auto"/>
              </w:rPr>
            </w:pPr>
            <w:r>
              <w:rPr>
                <w:rFonts w:ascii="Arial" w:cs="Arial" w:eastAsia="Arial" w:hAnsi="Arial"/>
                <w:sz w:val="12"/>
                <w:szCs w:val="12"/>
                <w:color w:val="auto"/>
                <w:w w:val="99"/>
              </w:rPr>
              <w:t>—</w:t>
            </w:r>
          </w:p>
        </w:tc>
        <w:tc>
          <w:tcPr>
            <w:tcW w:w="19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780" w:type="dxa"/>
            <w:vAlign w:val="bottom"/>
            <w:gridSpan w:val="2"/>
          </w:tcPr>
          <w:p>
            <w:pPr>
              <w:spacing w:after="0"/>
              <w:rPr>
                <w:sz w:val="20"/>
                <w:szCs w:val="20"/>
                <w:color w:val="auto"/>
              </w:rPr>
            </w:pPr>
            <w:r>
              <w:rPr>
                <w:rFonts w:ascii="Arial" w:cs="Arial" w:eastAsia="Arial" w:hAnsi="Arial"/>
                <w:sz w:val="12"/>
                <w:szCs w:val="12"/>
                <w:color w:val="auto"/>
              </w:rPr>
              <w:t>Mark A. Pompa</w:t>
            </w:r>
            <w:r>
              <w:rPr>
                <w:rFonts w:ascii="Arial" w:cs="Arial" w:eastAsia="Arial" w:hAnsi="Arial"/>
                <w:sz w:val="15"/>
                <w:szCs w:val="15"/>
                <w:color w:val="auto"/>
                <w:vertAlign w:val="superscript"/>
              </w:rPr>
              <w:t>(5)</w:t>
            </w:r>
          </w:p>
        </w:tc>
        <w:tc>
          <w:tcPr>
            <w:tcW w:w="200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660" w:type="dxa"/>
            <w:vAlign w:val="bottom"/>
          </w:tcPr>
          <w:p>
            <w:pPr>
              <w:ind w:left="300"/>
              <w:spacing w:after="0"/>
              <w:rPr>
                <w:sz w:val="20"/>
                <w:szCs w:val="20"/>
                <w:color w:val="auto"/>
              </w:rPr>
            </w:pPr>
            <w:r>
              <w:rPr>
                <w:rFonts w:ascii="Arial" w:cs="Arial" w:eastAsia="Arial" w:hAnsi="Arial"/>
                <w:sz w:val="12"/>
                <w:szCs w:val="12"/>
                <w:color w:val="auto"/>
              </w:rPr>
              <w:t>24,641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jc w:val="center"/>
              <w:ind w:right="20"/>
              <w:spacing w:after="0"/>
              <w:rPr>
                <w:sz w:val="20"/>
                <w:szCs w:val="20"/>
                <w:color w:val="auto"/>
              </w:rPr>
            </w:pPr>
            <w:r>
              <w:rPr>
                <w:rFonts w:ascii="Arial" w:cs="Arial" w:eastAsia="Arial" w:hAnsi="Arial"/>
                <w:sz w:val="12"/>
                <w:szCs w:val="12"/>
                <w:color w:val="auto"/>
                <w:w w:val="99"/>
              </w:rPr>
              <w:t>9,995</w:t>
            </w:r>
          </w:p>
        </w:tc>
      </w:tr>
      <w:tr>
        <w:trPr>
          <w:trHeight w:val="180"/>
        </w:trPr>
        <w:tc>
          <w:tcPr>
            <w:tcW w:w="278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Patricia K. Wagner</w:t>
            </w:r>
            <w:r>
              <w:rPr>
                <w:rFonts w:ascii="Arial" w:cs="Arial" w:eastAsia="Arial" w:hAnsi="Arial"/>
                <w:sz w:val="15"/>
                <w:szCs w:val="15"/>
                <w:color w:val="auto"/>
                <w:vertAlign w:val="superscript"/>
              </w:rPr>
              <w:t>(6)</w:t>
            </w:r>
          </w:p>
        </w:tc>
        <w:tc>
          <w:tcPr>
            <w:tcW w:w="190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5,019</w:t>
            </w:r>
          </w:p>
        </w:tc>
        <w:tc>
          <w:tcPr>
            <w:tcW w:w="100" w:type="dxa"/>
            <w:vAlign w:val="bottom"/>
            <w:shd w:val="clear" w:color="auto" w:fill="DBDBDB"/>
          </w:tcPr>
          <w:p>
            <w:pPr>
              <w:spacing w:after="0"/>
              <w:rPr>
                <w:sz w:val="15"/>
                <w:szCs w:val="15"/>
                <w:color w:val="auto"/>
              </w:rPr>
            </w:pPr>
          </w:p>
        </w:tc>
        <w:tc>
          <w:tcPr>
            <w:tcW w:w="1980" w:type="dxa"/>
            <w:vAlign w:val="bottom"/>
            <w:gridSpan w:val="4"/>
            <w:shd w:val="clear" w:color="auto" w:fill="DBDBDB"/>
          </w:tcPr>
          <w:p>
            <w:pPr>
              <w:jc w:val="center"/>
              <w:ind w:right="420"/>
              <w:spacing w:after="0"/>
              <w:rPr>
                <w:sz w:val="20"/>
                <w:szCs w:val="20"/>
                <w:color w:val="auto"/>
              </w:rPr>
            </w:pPr>
            <w:r>
              <w:rPr>
                <w:rFonts w:ascii="Arial" w:cs="Arial" w:eastAsia="Arial" w:hAnsi="Arial"/>
                <w:sz w:val="12"/>
                <w:szCs w:val="12"/>
                <w:color w:val="auto"/>
                <w:w w:val="99"/>
              </w:rPr>
              <w:t>—</w:t>
            </w:r>
          </w:p>
        </w:tc>
        <w:tc>
          <w:tcPr>
            <w:tcW w:w="19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r>
    </w:tbl>
    <w:p>
      <w:pPr>
        <w:spacing w:after="0" w:line="122" w:lineRule="exact"/>
        <w:rPr>
          <w:sz w:val="20"/>
          <w:szCs w:val="20"/>
          <w:color w:val="auto"/>
        </w:rPr>
      </w:pPr>
    </w:p>
    <w:p>
      <w:pPr>
        <w:ind w:left="328" w:hanging="328"/>
        <w:spacing w:after="0" w:line="286" w:lineRule="auto"/>
        <w:tabs>
          <w:tab w:leader="none" w:pos="32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This column includes the matching contributions pursuant to our Charitable Matching Contributions Program for Non-Employee Directors. The table below sets forth the amounts contributed or paid by the Company for our non-employee directors pursuant to such plan with respect to fiscal 2026.</w:t>
      </w:r>
    </w:p>
    <w:p>
      <w:pPr>
        <w:spacing w:after="0" w:line="139" w:lineRule="exact"/>
        <w:rPr>
          <w:sz w:val="20"/>
          <w:szCs w:val="20"/>
          <w:color w:val="auto"/>
        </w:rPr>
      </w:pPr>
    </w:p>
    <w:tbl>
      <w:tblPr>
        <w:tblLayout w:type="fixed"/>
        <w:tblInd w:w="648" w:type="dxa"/>
        <w:tblCellMar>
          <w:top w:w="0" w:type="dxa"/>
          <w:left w:w="0" w:type="dxa"/>
          <w:bottom w:w="0" w:type="dxa"/>
          <w:right w:w="0" w:type="dxa"/>
        </w:tblCellMar>
      </w:tblPr>
      <w:tr>
        <w:trPr>
          <w:trHeight w:val="144"/>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5445E"/>
                <w:w w:val="99"/>
              </w:rPr>
              <w:t>Matching Contributions</w:t>
            </w:r>
          </w:p>
        </w:tc>
        <w:tc>
          <w:tcPr>
            <w:tcW w:w="2760" w:type="dxa"/>
            <w:vAlign w:val="bottom"/>
          </w:tcPr>
          <w:p>
            <w:pPr>
              <w:spacing w:after="0"/>
              <w:rPr>
                <w:sz w:val="12"/>
                <w:szCs w:val="12"/>
                <w:color w:val="auto"/>
              </w:rPr>
            </w:pPr>
          </w:p>
        </w:tc>
      </w:tr>
      <w:tr>
        <w:trPr>
          <w:trHeight w:val="144"/>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w w:val="99"/>
              </w:rPr>
              <w:t>under our Charitable Matching Contributions</w:t>
            </w:r>
          </w:p>
        </w:tc>
        <w:tc>
          <w:tcPr>
            <w:tcW w:w="2760" w:type="dxa"/>
            <w:vAlign w:val="bottom"/>
          </w:tcPr>
          <w:p>
            <w:pPr>
              <w:jc w:val="center"/>
              <w:spacing w:after="0"/>
              <w:rPr>
                <w:sz w:val="20"/>
                <w:szCs w:val="20"/>
                <w:color w:val="auto"/>
              </w:rPr>
            </w:pPr>
            <w:r>
              <w:rPr>
                <w:rFonts w:ascii="Arial" w:cs="Arial" w:eastAsia="Arial" w:hAnsi="Arial"/>
                <w:sz w:val="12"/>
                <w:szCs w:val="12"/>
                <w:b w:val="1"/>
                <w:bCs w:val="1"/>
                <w:color w:val="05445E"/>
                <w:w w:val="97"/>
              </w:rPr>
              <w:t>Total</w:t>
            </w:r>
          </w:p>
        </w:tc>
      </w:tr>
      <w:tr>
        <w:trPr>
          <w:trHeight w:val="144"/>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w w:val="98"/>
              </w:rPr>
              <w:t>Program for</w:t>
            </w:r>
          </w:p>
        </w:tc>
        <w:tc>
          <w:tcPr>
            <w:tcW w:w="2760" w:type="dxa"/>
            <w:vAlign w:val="bottom"/>
          </w:tcPr>
          <w:p>
            <w:pPr>
              <w:jc w:val="center"/>
              <w:spacing w:after="0"/>
              <w:rPr>
                <w:sz w:val="20"/>
                <w:szCs w:val="20"/>
                <w:color w:val="auto"/>
              </w:rPr>
            </w:pPr>
            <w:r>
              <w:rPr>
                <w:rFonts w:ascii="Arial" w:cs="Arial" w:eastAsia="Arial" w:hAnsi="Arial"/>
                <w:sz w:val="12"/>
                <w:szCs w:val="12"/>
                <w:b w:val="1"/>
                <w:bCs w:val="1"/>
                <w:color w:val="05445E"/>
              </w:rPr>
              <w:t>All Other</w:t>
            </w:r>
          </w:p>
        </w:tc>
      </w:tr>
      <w:tr>
        <w:trPr>
          <w:trHeight w:val="144"/>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w w:val="99"/>
              </w:rPr>
              <w:t>Non-Employee Directors</w:t>
            </w:r>
          </w:p>
        </w:tc>
        <w:tc>
          <w:tcPr>
            <w:tcW w:w="2760" w:type="dxa"/>
            <w:vAlign w:val="bottom"/>
          </w:tcPr>
          <w:p>
            <w:pPr>
              <w:jc w:val="center"/>
              <w:spacing w:after="0"/>
              <w:rPr>
                <w:sz w:val="20"/>
                <w:szCs w:val="20"/>
                <w:color w:val="auto"/>
              </w:rPr>
            </w:pPr>
            <w:r>
              <w:rPr>
                <w:rFonts w:ascii="Arial" w:cs="Arial" w:eastAsia="Arial" w:hAnsi="Arial"/>
                <w:sz w:val="12"/>
                <w:szCs w:val="12"/>
                <w:b w:val="1"/>
                <w:bCs w:val="1"/>
                <w:color w:val="05445E"/>
              </w:rPr>
              <w:t>Compensation</w:t>
            </w:r>
          </w:p>
        </w:tc>
      </w:tr>
      <w:tr>
        <w:trPr>
          <w:trHeight w:val="170"/>
        </w:trPr>
        <w:tc>
          <w:tcPr>
            <w:tcW w:w="2820" w:type="dxa"/>
            <w:vAlign w:val="bottom"/>
            <w:tcBorders>
              <w:bottom w:val="single" w:sz="8" w:color="929292"/>
            </w:tcBorders>
          </w:tcPr>
          <w:p>
            <w:pPr>
              <w:ind w:left="20"/>
              <w:spacing w:after="0"/>
              <w:rPr>
                <w:sz w:val="20"/>
                <w:szCs w:val="20"/>
                <w:color w:val="auto"/>
              </w:rPr>
            </w:pPr>
            <w:r>
              <w:rPr>
                <w:rFonts w:ascii="Arial" w:cs="Arial" w:eastAsia="Arial" w:hAnsi="Arial"/>
                <w:sz w:val="12"/>
                <w:szCs w:val="12"/>
                <w:b w:val="1"/>
                <w:bCs w:val="1"/>
                <w:color w:val="05445E"/>
              </w:rPr>
              <w:t>Name</w:t>
            </w:r>
          </w:p>
        </w:tc>
        <w:tc>
          <w:tcPr>
            <w:tcW w:w="80" w:type="dxa"/>
            <w:vAlign w:val="bottom"/>
            <w:tcBorders>
              <w:bottom w:val="single" w:sz="8" w:color="DBDBDB"/>
            </w:tcBorders>
          </w:tcPr>
          <w:p>
            <w:pPr>
              <w:spacing w:after="0"/>
              <w:rPr>
                <w:sz w:val="14"/>
                <w:szCs w:val="14"/>
                <w:color w:val="auto"/>
              </w:rPr>
            </w:pPr>
          </w:p>
        </w:tc>
        <w:tc>
          <w:tcPr>
            <w:tcW w:w="276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100" w:type="dxa"/>
            <w:vAlign w:val="bottom"/>
            <w:tcBorders>
              <w:bottom w:val="single" w:sz="8" w:color="DBDBDB"/>
            </w:tcBorders>
          </w:tcPr>
          <w:p>
            <w:pPr>
              <w:spacing w:after="0"/>
              <w:rPr>
                <w:sz w:val="14"/>
                <w:szCs w:val="14"/>
                <w:color w:val="auto"/>
              </w:rPr>
            </w:pPr>
          </w:p>
        </w:tc>
        <w:tc>
          <w:tcPr>
            <w:tcW w:w="276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rPr>
              <w:t>($)</w:t>
            </w:r>
          </w:p>
        </w:tc>
      </w:tr>
      <w:tr>
        <w:trPr>
          <w:trHeight w:val="174"/>
        </w:trPr>
        <w:tc>
          <w:tcPr>
            <w:tcW w:w="290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Christina M. Alvord</w:t>
            </w:r>
          </w:p>
        </w:tc>
        <w:tc>
          <w:tcPr>
            <w:tcW w:w="2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2,000</w:t>
            </w:r>
          </w:p>
        </w:tc>
        <w:tc>
          <w:tcPr>
            <w:tcW w:w="100" w:type="dxa"/>
            <w:vAlign w:val="bottom"/>
            <w:shd w:val="clear" w:color="auto" w:fill="DBDBDB"/>
          </w:tcPr>
          <w:p>
            <w:pPr>
              <w:spacing w:after="0"/>
              <w:rPr>
                <w:sz w:val="15"/>
                <w:szCs w:val="15"/>
                <w:color w:val="auto"/>
              </w:rPr>
            </w:pPr>
          </w:p>
        </w:tc>
        <w:tc>
          <w:tcPr>
            <w:tcW w:w="2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2,000</w:t>
            </w: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Lloyd E. Johnson</w:t>
            </w:r>
          </w:p>
        </w:tc>
        <w:tc>
          <w:tcPr>
            <w:tcW w:w="28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276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8"/>
        </w:trPr>
        <w:tc>
          <w:tcPr>
            <w:tcW w:w="290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Elizabeth M. Lilly</w:t>
            </w:r>
          </w:p>
        </w:tc>
        <w:tc>
          <w:tcPr>
            <w:tcW w:w="2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1,500</w:t>
            </w:r>
          </w:p>
        </w:tc>
        <w:tc>
          <w:tcPr>
            <w:tcW w:w="100" w:type="dxa"/>
            <w:vAlign w:val="bottom"/>
            <w:shd w:val="clear" w:color="auto" w:fill="DBDBDB"/>
          </w:tcPr>
          <w:p>
            <w:pPr>
              <w:spacing w:after="0"/>
              <w:rPr>
                <w:sz w:val="16"/>
                <w:szCs w:val="16"/>
                <w:color w:val="auto"/>
              </w:rPr>
            </w:pPr>
          </w:p>
        </w:tc>
        <w:tc>
          <w:tcPr>
            <w:tcW w:w="2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1,500</w:t>
            </w: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Donald A. Nolan</w:t>
            </w:r>
          </w:p>
        </w:tc>
        <w:tc>
          <w:tcPr>
            <w:tcW w:w="2760" w:type="dxa"/>
            <w:vAlign w:val="bottom"/>
          </w:tcPr>
          <w:p>
            <w:pPr>
              <w:jc w:val="center"/>
              <w:spacing w:after="0"/>
              <w:rPr>
                <w:sz w:val="20"/>
                <w:szCs w:val="20"/>
                <w:color w:val="auto"/>
              </w:rPr>
            </w:pPr>
            <w:r>
              <w:rPr>
                <w:rFonts w:ascii="Arial" w:cs="Arial" w:eastAsia="Arial" w:hAnsi="Arial"/>
                <w:sz w:val="12"/>
                <w:szCs w:val="12"/>
                <w:color w:val="auto"/>
                <w:w w:val="99"/>
              </w:rPr>
              <w:t>2,000</w:t>
            </w:r>
          </w:p>
        </w:tc>
        <w:tc>
          <w:tcPr>
            <w:tcW w:w="10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99"/>
              </w:rPr>
              <w:t>2,000</w:t>
            </w:r>
          </w:p>
        </w:tc>
      </w:tr>
      <w:tr>
        <w:trPr>
          <w:trHeight w:val="188"/>
        </w:trPr>
        <w:tc>
          <w:tcPr>
            <w:tcW w:w="290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Herbert K. Parker</w:t>
            </w:r>
          </w:p>
        </w:tc>
        <w:tc>
          <w:tcPr>
            <w:tcW w:w="286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w:t>
            </w:r>
          </w:p>
        </w:tc>
        <w:tc>
          <w:tcPr>
            <w:tcW w:w="2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Mark A. Pompa</w:t>
            </w:r>
          </w:p>
        </w:tc>
        <w:tc>
          <w:tcPr>
            <w:tcW w:w="28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276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90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Patricia K. Wagner</w:t>
            </w:r>
          </w:p>
        </w:tc>
        <w:tc>
          <w:tcPr>
            <w:tcW w:w="286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w:t>
            </w:r>
          </w:p>
        </w:tc>
        <w:tc>
          <w:tcPr>
            <w:tcW w:w="27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w:t>
            </w:r>
          </w:p>
        </w:tc>
      </w:tr>
    </w:tbl>
    <w:p>
      <w:pPr>
        <w:spacing w:after="0" w:line="185" w:lineRule="exact"/>
        <w:rPr>
          <w:sz w:val="20"/>
          <w:szCs w:val="20"/>
          <w:color w:val="auto"/>
        </w:rPr>
      </w:pPr>
    </w:p>
    <w:p>
      <w:pPr>
        <w:ind w:left="328" w:right="20" w:hanging="328"/>
        <w:spacing w:after="0" w:line="286" w:lineRule="auto"/>
        <w:tabs>
          <w:tab w:leader="none" w:pos="322"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Effective as of the close of business on October 31, 2025, Mr. Nolan was appointed as our Chief Executive Officer and Executive Chair of the Board of Directors. His compensation in that role is included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xml:space="preserve"> but not in the "Fiscal 2026 Non-Employee Director Compensation Table" beginning on page </w:t>
      </w:r>
      <w:r>
        <w:rPr>
          <w:rFonts w:ascii="Arial" w:cs="Arial" w:eastAsia="Arial" w:hAnsi="Arial"/>
          <w:sz w:val="12"/>
          <w:szCs w:val="12"/>
          <w:u w:val="single" w:color="auto"/>
          <w:color w:val="0000FF"/>
        </w:rPr>
        <w:t>31</w:t>
      </w:r>
      <w:r>
        <w:rPr>
          <w:rFonts w:ascii="Arial" w:cs="Arial" w:eastAsia="Arial" w:hAnsi="Arial"/>
          <w:sz w:val="12"/>
          <w:szCs w:val="12"/>
          <w:color w:val="auto"/>
        </w:rPr>
        <w:t>.</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Mr. Pompa was elected as our Lead Director on January 14, 2026, and he received a prorated amount of the $30,000 annual cash retainer for Lead Director.</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26"/>
        </w:numPr>
        <w:rPr>
          <w:rFonts w:ascii="Arial" w:cs="Arial" w:eastAsia="Arial" w:hAnsi="Arial"/>
          <w:sz w:val="12"/>
          <w:szCs w:val="12"/>
          <w:color w:val="auto"/>
        </w:rPr>
      </w:pPr>
      <w:r>
        <w:rPr>
          <w:rFonts w:ascii="Arial" w:cs="Arial" w:eastAsia="Arial" w:hAnsi="Arial"/>
          <w:sz w:val="12"/>
          <w:szCs w:val="12"/>
          <w:color w:val="auto"/>
        </w:rPr>
        <w:t>Effective October 31, 2025, Ms. Wagner was elected as our Lead Director. Ms. Wagner resigned as Lead Director on January 14, 2026, and she received a prorated amount of the $30,000 annual cash retainer for Lead Director.</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21"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Compensation Committee Report</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Compensation Committee has reviewed and discussed the following Compensation Discussion and Analysis section with management and the Committee’s independent compensation consultant. Based on its review and discussions with management, our Compensation Committee recommended to our Board of Directors that the Compensation Discussion and Analysis be included in the Company’s 2026 Proxy Statement and Annual Report on Form 10-K for the fiscal year ended February 28, 2026.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Compensation Committee of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Board of Directors of Apogee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Patricia K. Wagner, </w:t>
      </w:r>
      <w:r>
        <w:rPr>
          <w:rFonts w:ascii="Arial" w:cs="Arial" w:eastAsia="Arial" w:hAnsi="Arial"/>
          <w:sz w:val="12"/>
          <w:szCs w:val="12"/>
          <w:i w:val="1"/>
          <w:iCs w:val="1"/>
          <w:color w:val="auto"/>
        </w:rPr>
        <w:t>Chair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Lloyd E. Johnson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Elizabeth M. Lilly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Herbert K. Parker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Mark A. Pompa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37" w:name="page38"/>
    <w:bookmarkEnd w:id="37"/>
    <w:p>
      <w:pPr>
        <w:ind w:left="8"/>
        <w:spacing w:after="0"/>
        <w:rPr>
          <w:sz w:val="20"/>
          <w:szCs w:val="20"/>
          <w:color w:val="auto"/>
        </w:rPr>
      </w:pPr>
      <w:r>
        <w:rPr>
          <w:rFonts w:ascii="Arial" w:cs="Arial" w:eastAsia="Arial" w:hAnsi="Arial"/>
          <w:sz w:val="12"/>
          <w:szCs w:val="12"/>
          <w:b w:val="1"/>
          <w:bCs w:val="1"/>
          <w:color w:val="05445E"/>
        </w:rPr>
        <w:t>Compensation Discussion and Analysis</w:t>
      </w:r>
    </w:p>
    <w:p>
      <w:pPr>
        <w:spacing w:after="0" w:line="150"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This Compensation Discussion and Analysis describes Apogee’s executive compensation program for fiscal 2026. In particular, this section explains how our Compensation Committee (the “Committee”) made decisions related to compensation for our Named Executive Officers for fiscal 2026.</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Named Executive Officers for fiscal 2026 were:</w:t>
      </w:r>
    </w:p>
    <w:p>
      <w:pPr>
        <w:spacing w:after="0" w:line="149" w:lineRule="exact"/>
        <w:rPr>
          <w:sz w:val="20"/>
          <w:szCs w:val="20"/>
          <w:color w:val="auto"/>
        </w:rPr>
      </w:pPr>
    </w:p>
    <w:p>
      <w:pPr>
        <w:ind w:left="428" w:hanging="212"/>
        <w:spacing w:after="0"/>
        <w:tabs>
          <w:tab w:leader="none" w:pos="4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Donald A. Nolan, Chief Executive Officer and Executive Chair of the Board</w:t>
      </w:r>
      <w:r>
        <w:rPr>
          <w:rFonts w:ascii="Arial" w:cs="Arial" w:eastAsia="Arial" w:hAnsi="Arial"/>
          <w:sz w:val="15"/>
          <w:szCs w:val="15"/>
          <w:color w:val="auto"/>
          <w:vertAlign w:val="superscript"/>
        </w:rPr>
        <w:t>(1)</w:t>
      </w:r>
    </w:p>
    <w:p>
      <w:pPr>
        <w:spacing w:after="0" w:line="115" w:lineRule="exact"/>
        <w:rPr>
          <w:rFonts w:ascii="Arial" w:cs="Arial" w:eastAsia="Arial" w:hAnsi="Arial"/>
          <w:sz w:val="12"/>
          <w:szCs w:val="12"/>
          <w:color w:val="auto"/>
        </w:rPr>
      </w:pPr>
    </w:p>
    <w:p>
      <w:pPr>
        <w:ind w:left="428" w:hanging="212"/>
        <w:spacing w:after="0"/>
        <w:tabs>
          <w:tab w:leader="none" w:pos="4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Mark R. Augdahl, Executive Vice President, Chief Financial Officer</w:t>
      </w:r>
      <w:r>
        <w:rPr>
          <w:rFonts w:ascii="Arial" w:cs="Arial" w:eastAsia="Arial" w:hAnsi="Arial"/>
          <w:sz w:val="15"/>
          <w:szCs w:val="15"/>
          <w:color w:val="auto"/>
          <w:vertAlign w:val="superscript"/>
        </w:rPr>
        <w:t>(2)</w:t>
      </w:r>
    </w:p>
    <w:p>
      <w:pPr>
        <w:spacing w:after="0" w:line="115" w:lineRule="exact"/>
        <w:rPr>
          <w:rFonts w:ascii="Arial" w:cs="Arial" w:eastAsia="Arial" w:hAnsi="Arial"/>
          <w:sz w:val="12"/>
          <w:szCs w:val="12"/>
          <w:color w:val="auto"/>
        </w:rPr>
      </w:pPr>
    </w:p>
    <w:p>
      <w:pPr>
        <w:ind w:left="428" w:hanging="212"/>
        <w:spacing w:after="0"/>
        <w:tabs>
          <w:tab w:leader="none" w:pos="4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Troy R. Johnson, President, Architectural Metals Segment</w:t>
      </w:r>
      <w:r>
        <w:rPr>
          <w:rFonts w:ascii="Arial" w:cs="Arial" w:eastAsia="Arial" w:hAnsi="Arial"/>
          <w:sz w:val="15"/>
          <w:szCs w:val="15"/>
          <w:color w:val="auto"/>
          <w:vertAlign w:val="superscript"/>
        </w:rPr>
        <w:t>(3)</w:t>
      </w:r>
    </w:p>
    <w:p>
      <w:pPr>
        <w:spacing w:after="0" w:line="116" w:lineRule="exact"/>
        <w:rPr>
          <w:rFonts w:ascii="Arial" w:cs="Arial" w:eastAsia="Arial" w:hAnsi="Arial"/>
          <w:sz w:val="12"/>
          <w:szCs w:val="12"/>
          <w:color w:val="auto"/>
        </w:rPr>
      </w:pPr>
    </w:p>
    <w:p>
      <w:pPr>
        <w:ind w:left="428" w:hanging="212"/>
        <w:spacing w:after="0"/>
        <w:tabs>
          <w:tab w:leader="none" w:pos="4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Veena M. Lakkundi, President, Performance Surfaces Segment</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Brent C. Jewell, President, Architectural Glass Segment</w:t>
      </w:r>
    </w:p>
    <w:p>
      <w:pPr>
        <w:spacing w:after="0" w:line="140" w:lineRule="exact"/>
        <w:rPr>
          <w:rFonts w:ascii="Arial" w:cs="Arial" w:eastAsia="Arial" w:hAnsi="Arial"/>
          <w:sz w:val="12"/>
          <w:szCs w:val="12"/>
          <w:color w:val="auto"/>
        </w:rPr>
      </w:pPr>
    </w:p>
    <w:p>
      <w:pPr>
        <w:ind w:left="428" w:hanging="212"/>
        <w:spacing w:after="0"/>
        <w:tabs>
          <w:tab w:leader="none" w:pos="4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Ty R. Silberhorn, Former President and Chief Executive Officer</w:t>
      </w:r>
      <w:r>
        <w:rPr>
          <w:rFonts w:ascii="Arial" w:cs="Arial" w:eastAsia="Arial" w:hAnsi="Arial"/>
          <w:sz w:val="15"/>
          <w:szCs w:val="15"/>
          <w:color w:val="auto"/>
          <w:vertAlign w:val="superscript"/>
        </w:rPr>
        <w:t>(4)</w:t>
      </w:r>
    </w:p>
    <w:p>
      <w:pPr>
        <w:spacing w:after="0" w:line="98" w:lineRule="exact"/>
        <w:rPr>
          <w:rFonts w:ascii="Arial" w:cs="Arial" w:eastAsia="Arial" w:hAnsi="Arial"/>
          <w:sz w:val="12"/>
          <w:szCs w:val="12"/>
          <w:color w:val="auto"/>
        </w:rPr>
      </w:pPr>
    </w:p>
    <w:p>
      <w:pPr>
        <w:ind w:left="428" w:hanging="212"/>
        <w:spacing w:after="0"/>
        <w:tabs>
          <w:tab w:leader="none" w:pos="428" w:val="left"/>
        </w:tabs>
        <w:numPr>
          <w:ilvl w:val="0"/>
          <w:numId w:val="27"/>
        </w:numPr>
        <w:rPr>
          <w:rFonts w:ascii="Arial" w:cs="Arial" w:eastAsia="Arial" w:hAnsi="Arial"/>
          <w:sz w:val="12"/>
          <w:szCs w:val="12"/>
          <w:color w:val="auto"/>
          <w:strike w:val="1"/>
        </w:rPr>
      </w:pPr>
      <w:r>
        <w:rPr>
          <w:rFonts w:ascii="Arial" w:cs="Arial" w:eastAsia="Arial" w:hAnsi="Arial"/>
          <w:sz w:val="12"/>
          <w:szCs w:val="12"/>
          <w:color w:val="auto"/>
        </w:rPr>
        <w:t>Matthew J. Osberg, former Executive Vice President and Chief Financial Officer</w:t>
      </w:r>
      <w:r>
        <w:rPr>
          <w:rFonts w:ascii="Arial" w:cs="Arial" w:eastAsia="Arial" w:hAnsi="Arial"/>
          <w:sz w:val="15"/>
          <w:szCs w:val="15"/>
          <w:color w:val="auto"/>
          <w:vertAlign w:val="superscript"/>
        </w:rPr>
        <w:t>(5)</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of the Named Executive Officers other than Mr. Nolan are collectively referred to as our “Other Named Executive Officers” in this Compensation Discussion and Analysis section.</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w:t>
      </w:r>
    </w:p>
    <w:p>
      <w:pPr>
        <w:spacing w:after="0" w:line="66" w:lineRule="exact"/>
        <w:rPr>
          <w:sz w:val="20"/>
          <w:szCs w:val="20"/>
          <w:color w:val="auto"/>
        </w:rPr>
      </w:pPr>
    </w:p>
    <w:p>
      <w:pPr>
        <w:ind w:left="288" w:hanging="288"/>
        <w:spacing w:after="0"/>
        <w:tabs>
          <w:tab w:leader="none" w:pos="2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Nolan was appointed to serve as Chief Executive Officer and Executive Chair of the Board of Directors effective as of the close of business on October 31, 2025, during fiscal 2026.</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Augdahl was elected by the Board of Directors to serve as Executive Vice President and Chief Financial Officer effective January 19, 2026.</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T. Johnson became President, Architectural Metals Segment effective August 7, 2025.</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Silberhorn separated as an officer and director of the Company on October 31, 2025.</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Osberg resigned as Chief Financial Officer effective January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i w:val="1"/>
          <w:iCs w:val="1"/>
          <w:color w:val="auto"/>
        </w:rPr>
        <w:t>Executive Summary</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u w:val="single" w:color="auto"/>
          <w:color w:val="auto"/>
        </w:rPr>
        <w:t>About Apogee</w:t>
      </w:r>
      <w:r>
        <w:rPr>
          <w:rFonts w:ascii="Arial" w:cs="Arial" w:eastAsia="Arial" w:hAnsi="Arial"/>
          <w:sz w:val="12"/>
          <w:szCs w:val="12"/>
          <w:color w:val="auto"/>
        </w:rPr>
        <w:t>. Our Company is a leading provider of architectural building products and services, as well as high-performance coated materials used in a variety of applications. In fiscal 2026, we had net sales of</w:t>
      </w:r>
      <w:r>
        <w:rPr>
          <w:rFonts w:ascii="Arial" w:cs="Arial" w:eastAsia="Arial" w:hAnsi="Arial"/>
          <w:sz w:val="12"/>
          <w:szCs w:val="12"/>
          <w:b w:val="1"/>
          <w:bCs w:val="1"/>
          <w:color w:val="auto"/>
        </w:rPr>
        <w:t xml:space="preserve"> </w:t>
      </w:r>
      <w:r>
        <w:rPr>
          <w:rFonts w:ascii="Arial" w:cs="Arial" w:eastAsia="Arial" w:hAnsi="Arial"/>
          <w:sz w:val="12"/>
          <w:szCs w:val="12"/>
          <w:color w:val="auto"/>
        </w:rPr>
        <w:t>$1.40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086600" cy="1714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6600" cy="171450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FFFFFF"/>
        </w:rPr>
        <w:t>ARCHITECTURAL</w:t>
      </w:r>
    </w:p>
    <w:p>
      <w:pPr>
        <w:spacing w:after="0" w:line="18"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FFFFFF"/>
        </w:rPr>
        <w:t>METALS</w:t>
      </w:r>
    </w:p>
    <w:p>
      <w:pPr>
        <w:spacing w:after="0" w:line="210"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FFFFFF"/>
        </w:rPr>
        <w:t>Designs, fabricates and</w:t>
      </w:r>
    </w:p>
    <w:p>
      <w:pPr>
        <w:spacing w:after="0" w:line="18"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FFFFFF"/>
        </w:rPr>
        <w:t>finishes aluminum window,</w:t>
      </w:r>
    </w:p>
    <w:p>
      <w:pPr>
        <w:spacing w:after="0" w:line="6"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FFFFFF"/>
        </w:rPr>
        <w:t>storefront and</w:t>
      </w:r>
    </w:p>
    <w:p>
      <w:pPr>
        <w:spacing w:after="0" w:line="6"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FFFFFF"/>
        </w:rPr>
        <w:t>entrance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404495</wp:posOffset>
            </wp:positionV>
            <wp:extent cx="2017395" cy="640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17395"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PERFORMANCE</w:t>
      </w:r>
    </w:p>
    <w:p>
      <w:pPr>
        <w:spacing w:after="0" w:line="18"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SURFACES</w:t>
      </w:r>
    </w:p>
    <w:p>
      <w:pPr>
        <w:spacing w:after="0" w:line="210"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Develops and manufactures high-performance coated</w:t>
      </w:r>
    </w:p>
    <w:p>
      <w:pPr>
        <w:spacing w:after="0" w:line="15"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materials for a variety of applications.</w:t>
      </w:r>
    </w:p>
    <w:p>
      <w:pPr>
        <w:jc w:val="center"/>
        <w:ind w:left="3380"/>
        <w:spacing w:after="0"/>
        <w:rPr>
          <w:sz w:val="20"/>
          <w:szCs w:val="20"/>
          <w:color w:val="auto"/>
        </w:rPr>
      </w:pPr>
      <w:r>
        <w:rPr>
          <w:rFonts w:ascii="Arial" w:cs="Arial" w:eastAsia="Arial" w:hAnsi="Arial"/>
          <w:sz w:val="12"/>
          <w:szCs w:val="12"/>
          <w:color w:val="383838"/>
        </w:rPr>
        <w:t>Percentage of</w:t>
      </w:r>
    </w:p>
    <w:p>
      <w:pPr>
        <w:spacing w:after="0" w:line="6" w:lineRule="exact"/>
        <w:rPr>
          <w:sz w:val="20"/>
          <w:szCs w:val="20"/>
          <w:color w:val="auto"/>
        </w:rPr>
      </w:pPr>
    </w:p>
    <w:p>
      <w:pPr>
        <w:jc w:val="center"/>
        <w:ind w:left="3380"/>
        <w:spacing w:after="0"/>
        <w:rPr>
          <w:sz w:val="20"/>
          <w:szCs w:val="20"/>
          <w:color w:val="auto"/>
        </w:rPr>
      </w:pPr>
      <w:r>
        <w:rPr>
          <w:rFonts w:ascii="Arial" w:cs="Arial" w:eastAsia="Arial" w:hAnsi="Arial"/>
          <w:sz w:val="12"/>
          <w:szCs w:val="12"/>
          <w:color w:val="383838"/>
        </w:rPr>
        <w:t>fiscal 2026 net sales</w:t>
      </w:r>
    </w:p>
    <w:p>
      <w:pPr>
        <w:spacing w:after="0" w:line="6" w:lineRule="exact"/>
        <w:rPr>
          <w:sz w:val="20"/>
          <w:szCs w:val="20"/>
          <w:color w:val="auto"/>
        </w:rPr>
      </w:pPr>
    </w:p>
    <w:p>
      <w:pPr>
        <w:jc w:val="center"/>
        <w:ind w:left="3380"/>
        <w:spacing w:after="0"/>
        <w:rPr>
          <w:sz w:val="20"/>
          <w:szCs w:val="20"/>
          <w:color w:val="auto"/>
        </w:rPr>
      </w:pPr>
      <w:r>
        <w:rPr>
          <w:rFonts w:ascii="Arial" w:cs="Arial" w:eastAsia="Arial" w:hAnsi="Arial"/>
          <w:sz w:val="12"/>
          <w:szCs w:val="12"/>
          <w:color w:val="383838"/>
        </w:rPr>
        <w:t xml:space="preserve">of </w:t>
      </w:r>
      <w:r>
        <w:rPr>
          <w:rFonts w:ascii="Arial" w:cs="Arial" w:eastAsia="Arial" w:hAnsi="Arial"/>
          <w:sz w:val="12"/>
          <w:szCs w:val="12"/>
          <w:color w:val="000000"/>
        </w:rPr>
        <w:t>$1.40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ARCHITECTURAL</w:t>
      </w:r>
    </w:p>
    <w:p>
      <w:pPr>
        <w:spacing w:after="0" w:line="18"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GLASS</w:t>
      </w:r>
    </w:p>
    <w:p>
      <w:pPr>
        <w:spacing w:after="0" w:line="210" w:lineRule="exact"/>
        <w:rPr>
          <w:sz w:val="20"/>
          <w:szCs w:val="20"/>
          <w:color w:val="auto"/>
        </w:rPr>
      </w:pPr>
    </w:p>
    <w:p>
      <w:pPr>
        <w:ind w:left="560" w:right="1240" w:firstLine="38"/>
        <w:spacing w:after="0" w:line="280" w:lineRule="auto"/>
        <w:tabs>
          <w:tab w:leader="none" w:pos="723" w:val="left"/>
        </w:tabs>
        <w:numPr>
          <w:ilvl w:val="0"/>
          <w:numId w:val="29"/>
        </w:numPr>
        <w:rPr>
          <w:rFonts w:ascii="Arial" w:cs="Arial" w:eastAsia="Arial" w:hAnsi="Arial"/>
          <w:sz w:val="11"/>
          <w:szCs w:val="11"/>
          <w:b w:val="1"/>
          <w:bCs w:val="1"/>
          <w:color w:val="auto"/>
        </w:rPr>
      </w:pPr>
      <w:r>
        <w:rPr>
          <w:rFonts w:ascii="Arial" w:cs="Arial" w:eastAsia="Arial" w:hAnsi="Arial"/>
          <w:sz w:val="11"/>
          <w:szCs w:val="11"/>
          <w:b w:val="1"/>
          <w:bCs w:val="1"/>
          <w:color w:val="auto"/>
        </w:rPr>
        <w:t>single-source resource for high performance</w:t>
      </w:r>
    </w:p>
    <w:p>
      <w:pPr>
        <w:spacing w:after="0" w:line="1"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architectural glass</w:t>
      </w:r>
    </w:p>
    <w:p>
      <w:pPr>
        <w:spacing w:after="0" w:line="6" w:lineRule="exact"/>
        <w:rPr>
          <w:sz w:val="20"/>
          <w:szCs w:val="20"/>
          <w:color w:val="auto"/>
        </w:rPr>
      </w:pPr>
    </w:p>
    <w:p>
      <w:pPr>
        <w:jc w:val="center"/>
        <w:ind w:right="680"/>
        <w:spacing w:after="0"/>
        <w:rPr>
          <w:sz w:val="20"/>
          <w:szCs w:val="20"/>
          <w:color w:val="auto"/>
        </w:rPr>
      </w:pPr>
      <w:r>
        <w:rPr>
          <w:rFonts w:ascii="Arial" w:cs="Arial" w:eastAsia="Arial" w:hAnsi="Arial"/>
          <w:sz w:val="11"/>
          <w:szCs w:val="11"/>
          <w:b w:val="1"/>
          <w:bCs w:val="1"/>
          <w:color w:val="auto"/>
        </w:rPr>
        <w:t>products in non-residential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274320</wp:posOffset>
            </wp:positionV>
            <wp:extent cx="2017395" cy="822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17395" cy="82296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ARCHITECTURAL</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2"/>
          <w:szCs w:val="12"/>
          <w:b w:val="1"/>
          <w:bCs w:val="1"/>
          <w:color w:val="auto"/>
        </w:rPr>
        <w:t>SERVICES</w:t>
      </w:r>
    </w:p>
    <w:p>
      <w:pPr>
        <w:spacing w:after="0" w:line="210"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One of the largest U.S.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full-service building</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glass and curtainwall</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installation companies</w:t>
      </w:r>
    </w:p>
    <w:p>
      <w:pPr>
        <w:spacing w:after="0" w:line="406" w:lineRule="exact"/>
        <w:rPr>
          <w:sz w:val="20"/>
          <w:szCs w:val="20"/>
          <w:color w:val="auto"/>
        </w:rPr>
      </w:pPr>
    </w:p>
    <w:p>
      <w:pPr>
        <w:sectPr>
          <w:pgSz w:w="11900" w:h="16838" w:orient="portrait"/>
          <w:cols w:equalWidth="0" w:num="2">
            <w:col w:w="7800" w:space="720"/>
            <w:col w:w="2780"/>
          </w:cols>
          <w:pgMar w:left="300" w:top="813" w:right="29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u w:val="single" w:color="auto"/>
          <w:color w:val="auto"/>
        </w:rPr>
        <w:t>Our Strategy</w:t>
      </w:r>
      <w:r>
        <w:rPr>
          <w:rFonts w:ascii="Arial" w:cs="Arial" w:eastAsia="Arial" w:hAnsi="Arial"/>
          <w:sz w:val="12"/>
          <w:szCs w:val="12"/>
          <w:color w:val="auto"/>
        </w:rPr>
        <w:t>. Throughout fiscal 2026, we executed the strategy introduced in November 2021, which strengthened our organization through the implementation of the Apogee Management System, drove</w:t>
      </w:r>
      <w:r>
        <w:rPr>
          <w:rFonts w:ascii="Arial" w:cs="Arial" w:eastAsia="Arial" w:hAnsi="Arial"/>
          <w:sz w:val="12"/>
          <w:szCs w:val="12"/>
          <w:b w:val="1"/>
          <w:bCs w:val="1"/>
          <w:color w:val="auto"/>
        </w:rPr>
        <w:t xml:space="preserve"> </w:t>
      </w:r>
      <w:r>
        <w:rPr>
          <w:rFonts w:ascii="Arial" w:cs="Arial" w:eastAsia="Arial" w:hAnsi="Arial"/>
          <w:sz w:val="12"/>
          <w:szCs w:val="12"/>
          <w:color w:val="auto"/>
        </w:rPr>
        <w:t>improvements to our cost structure and manufacturing footprint, and increased leverage of administrative functions across the enterprise. This strategy also contributed to meaningful safety improvements and a more focused product and service portfolio, leading to margin and profitability improvement. Building on this foundation, we are refining our strategic framework to further enhance execution and position Apogee as a more growth-oriented organization with an increased focus on delivering customer value.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Our enhanced Company strategy is based on the following three key pillars:</w:t>
      </w:r>
    </w:p>
    <w:p>
      <w:pPr>
        <w:spacing w:after="0" w:line="132" w:lineRule="exact"/>
        <w:rPr>
          <w:sz w:val="20"/>
          <w:szCs w:val="20"/>
          <w:color w:val="auto"/>
        </w:rPr>
      </w:pPr>
    </w:p>
    <w:p>
      <w:pPr>
        <w:jc w:val="both"/>
        <w:ind w:left="420" w:hanging="212"/>
        <w:spacing w:after="0" w:line="268" w:lineRule="auto"/>
        <w:tabs>
          <w:tab w:leader="none" w:pos="412" w:val="left"/>
        </w:tabs>
        <w:numPr>
          <w:ilvl w:val="0"/>
          <w:numId w:val="30"/>
        </w:numPr>
        <w:rPr>
          <w:rFonts w:ascii="Arial" w:cs="Arial" w:eastAsia="Arial" w:hAnsi="Arial"/>
          <w:sz w:val="12"/>
          <w:szCs w:val="12"/>
          <w:color w:val="auto"/>
        </w:rPr>
      </w:pPr>
      <w:r>
        <w:rPr>
          <w:rFonts w:ascii="Arial" w:cs="Arial" w:eastAsia="Arial" w:hAnsi="Arial"/>
          <w:sz w:val="12"/>
          <w:szCs w:val="12"/>
          <w:b w:val="1"/>
          <w:bCs w:val="1"/>
          <w:color w:val="auto"/>
        </w:rPr>
        <w:t>Accelerate Leadership in Target Markets</w:t>
      </w:r>
      <w:r>
        <w:rPr>
          <w:rFonts w:ascii="Arial" w:cs="Arial" w:eastAsia="Arial" w:hAnsi="Arial"/>
          <w:sz w:val="12"/>
          <w:szCs w:val="12"/>
          <w:color w:val="auto"/>
        </w:rPr>
        <w:t>. We intend to enhance our position in targeted end markets by differentiating through deep customer focus and insight, using an informed understanding of</w:t>
      </w:r>
      <w:r>
        <w:rPr>
          <w:rFonts w:ascii="Arial" w:cs="Arial" w:eastAsia="Arial" w:hAnsi="Arial"/>
          <w:sz w:val="12"/>
          <w:szCs w:val="12"/>
          <w:b w:val="1"/>
          <w:bCs w:val="1"/>
          <w:color w:val="auto"/>
        </w:rPr>
        <w:t xml:space="preserve"> </w:t>
      </w:r>
      <w:r>
        <w:rPr>
          <w:rFonts w:ascii="Arial" w:cs="Arial" w:eastAsia="Arial" w:hAnsi="Arial"/>
          <w:sz w:val="12"/>
          <w:szCs w:val="12"/>
          <w:color w:val="auto"/>
        </w:rPr>
        <w:t>customer needs to shape our offerings and delivery models. By aligning our capabilities, investments, and operating approach around this customer-focused strategy, we believe we will be better positioned to differentiate, compete effectively, and strengthen our position in the markets we serve.</w:t>
      </w:r>
    </w:p>
    <w:p>
      <w:pPr>
        <w:spacing w:after="0" w:line="113" w:lineRule="exact"/>
        <w:rPr>
          <w:rFonts w:ascii="Arial" w:cs="Arial" w:eastAsia="Arial" w:hAnsi="Arial"/>
          <w:sz w:val="12"/>
          <w:szCs w:val="12"/>
          <w:color w:val="auto"/>
        </w:rPr>
      </w:pPr>
    </w:p>
    <w:p>
      <w:pPr>
        <w:ind w:left="420" w:hanging="212"/>
        <w:spacing w:after="0" w:line="286" w:lineRule="auto"/>
        <w:tabs>
          <w:tab w:leader="none" w:pos="412" w:val="left"/>
        </w:tabs>
        <w:numPr>
          <w:ilvl w:val="0"/>
          <w:numId w:val="30"/>
        </w:numPr>
        <w:rPr>
          <w:rFonts w:ascii="Arial" w:cs="Arial" w:eastAsia="Arial" w:hAnsi="Arial"/>
          <w:sz w:val="12"/>
          <w:szCs w:val="12"/>
          <w:color w:val="auto"/>
        </w:rPr>
      </w:pPr>
      <w:r>
        <w:rPr>
          <w:rFonts w:ascii="Arial" w:cs="Arial" w:eastAsia="Arial" w:hAnsi="Arial"/>
          <w:sz w:val="12"/>
          <w:szCs w:val="12"/>
          <w:b w:val="1"/>
          <w:bCs w:val="1"/>
          <w:color w:val="auto"/>
        </w:rPr>
        <w:t>Grow and Strengthen the Portfolio</w:t>
      </w:r>
      <w:r>
        <w:rPr>
          <w:rFonts w:ascii="Arial" w:cs="Arial" w:eastAsia="Arial" w:hAnsi="Arial"/>
          <w:sz w:val="12"/>
          <w:szCs w:val="12"/>
          <w:color w:val="auto"/>
        </w:rPr>
        <w:t>. We seek to grow and strengthen our portfolio through disciplined organic and inorganic investments in differentiated solutions that align with evolving customer needs.</w:t>
      </w:r>
      <w:r>
        <w:rPr>
          <w:rFonts w:ascii="Arial" w:cs="Arial" w:eastAsia="Arial" w:hAnsi="Arial"/>
          <w:sz w:val="12"/>
          <w:szCs w:val="12"/>
          <w:b w:val="1"/>
          <w:bCs w:val="1"/>
          <w:color w:val="auto"/>
        </w:rPr>
        <w:t xml:space="preserve"> </w:t>
      </w:r>
      <w:r>
        <w:rPr>
          <w:rFonts w:ascii="Arial" w:cs="Arial" w:eastAsia="Arial" w:hAnsi="Arial"/>
          <w:sz w:val="12"/>
          <w:szCs w:val="12"/>
          <w:color w:val="auto"/>
        </w:rPr>
        <w:t>By prioritizing opportunities that enhance our competitive positioning and directly address customer challenges, we will reinforce our disciplined approach to portfolio growth and improvement.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type w:val="continuous"/>
        </w:sectPr>
      </w:pPr>
    </w:p>
    <w:bookmarkStart w:id="39" w:name="page40"/>
    <w:bookmarkEnd w:id="39"/>
    <w:p>
      <w:pPr>
        <w:jc w:val="both"/>
        <w:ind w:left="420" w:right="20" w:hanging="212"/>
        <w:spacing w:after="0" w:line="286" w:lineRule="auto"/>
        <w:tabs>
          <w:tab w:leader="none" w:pos="412" w:val="left"/>
        </w:tabs>
        <w:numPr>
          <w:ilvl w:val="0"/>
          <w:numId w:val="31"/>
        </w:numPr>
        <w:rPr>
          <w:rFonts w:ascii="Arial" w:cs="Arial" w:eastAsia="Arial" w:hAnsi="Arial"/>
          <w:sz w:val="12"/>
          <w:szCs w:val="12"/>
          <w:color w:val="auto"/>
        </w:rPr>
      </w:pPr>
      <w:r>
        <w:rPr>
          <w:rFonts w:ascii="Arial" w:cs="Arial" w:eastAsia="Arial" w:hAnsi="Arial"/>
          <w:sz w:val="12"/>
          <w:szCs w:val="12"/>
          <w:b w:val="1"/>
          <w:bCs w:val="1"/>
          <w:color w:val="auto"/>
        </w:rPr>
        <w:t xml:space="preserve">Advance Core Capabilities. </w:t>
      </w:r>
      <w:r>
        <w:rPr>
          <w:rFonts w:ascii="Arial" w:cs="Arial" w:eastAsia="Arial" w:hAnsi="Arial"/>
          <w:sz w:val="12"/>
          <w:szCs w:val="12"/>
          <w:color w:val="auto"/>
        </w:rPr>
        <w:t>We expect to advance core capabilities by fostering a culture of continuous improvement grounded in operational excellence, talent development, and disciplined process</w:t>
      </w:r>
      <w:r>
        <w:rPr>
          <w:rFonts w:ascii="Arial" w:cs="Arial" w:eastAsia="Arial" w:hAnsi="Arial"/>
          <w:sz w:val="12"/>
          <w:szCs w:val="12"/>
          <w:b w:val="1"/>
          <w:bCs w:val="1"/>
          <w:color w:val="auto"/>
        </w:rPr>
        <w:t xml:space="preserve"> </w:t>
      </w:r>
      <w:r>
        <w:rPr>
          <w:rFonts w:ascii="Arial" w:cs="Arial" w:eastAsia="Arial" w:hAnsi="Arial"/>
          <w:sz w:val="12"/>
          <w:szCs w:val="12"/>
          <w:color w:val="auto"/>
        </w:rPr>
        <w:t>execution. Through targeted investments in people, systems, and technology, we will strengthen our ability to deliver consistent performance and enhance the customer experience across the organization.</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We continually analyze our current portfolio of products, services, and capabilities to identify the best areas for future profitable growth. We also evaluate inorganic investment opportunities where we can deploy capital to acquire businesses that will be accretive to our long-term growth rate and operating margins.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Non-GAAP Financial Measures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following measures are not calculated in accordance with generally accepted accounting principles ("GAAP"). These non-GAAP financial measures should be viewed in addition to, and not as an alternative to, the reported financial results of the Company in accordance with GAAP. Other companies may calculate these measures differently from us, thereby limiting the usefulness of the measures for comparison with others.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Adjusted EBITDA is a non-GAAP financial measure that we define as net earnings excluding interest expense, income tax expense, depreciation, amortization and certain non-GAAP adjustments. Segment Adjusted EBITDA includes net earnings related to intersegment sales transactions and other income and expense related to the segment and excludes certain corporate costs that are not allocated at a segment level. We believe these measures are useful in understanding operational profitability over time.</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Adjusted diluted earnings per share ("Adjusted Diluted EPS") is a non-GAAP financial measure defined as diluted earnings per share excluding adjustments that management does not consider part of core operating results. We believe this measure is useful in understanding operational performance.</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Adjusted return on invested capital ("Adjusted ROIC") is a non-GAAP financial measure defined as net earnings excluding interest expense, other income (expenses), and adjustments that management does not consider part of core operating results, all net of tax and divided by average invested capital. We believe this measure is useful in understanding operational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40" w:name="page41"/>
    <w:bookmarkEnd w:id="40"/>
    <w:p>
      <w:pPr>
        <w:jc w:val="both"/>
        <w:spacing w:after="0" w:line="268" w:lineRule="auto"/>
        <w:rPr>
          <w:sz w:val="20"/>
          <w:szCs w:val="20"/>
          <w:color w:val="auto"/>
        </w:rPr>
      </w:pPr>
      <w:r>
        <w:rPr>
          <w:rFonts w:ascii="Arial" w:cs="Arial" w:eastAsia="Arial" w:hAnsi="Arial"/>
          <w:sz w:val="12"/>
          <w:szCs w:val="12"/>
          <w:b w:val="1"/>
          <w:bCs w:val="1"/>
          <w:u w:val="single" w:color="auto"/>
          <w:color w:val="auto"/>
        </w:rPr>
        <w:t>Executive Compensation Philosophy and Practices</w:t>
      </w:r>
      <w:r>
        <w:rPr>
          <w:rFonts w:ascii="Arial" w:cs="Arial" w:eastAsia="Arial" w:hAnsi="Arial"/>
          <w:sz w:val="12"/>
          <w:szCs w:val="12"/>
          <w:color w:val="auto"/>
        </w:rPr>
        <w:t>. Our compensation programs are designed to attract, motivate and retain executive talent to achieve success in both the short-term and long-term for our</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pay for sustainable performance in an ever-changing environment; and align the interests of our executive officers with our shareholders. We continue to refine our executive compensation program to reflect changes in our business strategy and evolving executive compensation practices.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420" w:type="dxa"/>
            <w:vAlign w:val="bottom"/>
            <w:tcBorders>
              <w:top w:val="single" w:sz="8" w:color="auto"/>
              <w:left w:val="single" w:sz="8" w:color="auto"/>
              <w:right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494949"/>
            </w:tcBorders>
          </w:tcPr>
          <w:p>
            <w:pPr>
              <w:spacing w:after="0"/>
              <w:rPr>
                <w:sz w:val="12"/>
                <w:szCs w:val="12"/>
                <w:color w:val="auto"/>
              </w:rPr>
            </w:pPr>
          </w:p>
        </w:tc>
        <w:tc>
          <w:tcPr>
            <w:tcW w:w="4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05445E"/>
                <w:w w:val="98"/>
              </w:rPr>
              <w:t>Executive Compensation Practices</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05445E"/>
                <w:w w:val="99"/>
              </w:rPr>
              <w:t>Our Executive</w:t>
            </w:r>
          </w:p>
        </w:tc>
        <w:tc>
          <w:tcPr>
            <w:tcW w:w="1140" w:type="dxa"/>
            <w:vAlign w:val="bottom"/>
            <w:tcBorders>
              <w:right w:val="single" w:sz="8" w:color="494949"/>
            </w:tcBorders>
            <w:gridSpan w:val="3"/>
          </w:tcPr>
          <w:p>
            <w:pPr>
              <w:jc w:val="center"/>
              <w:ind w:right="60"/>
              <w:spacing w:after="0"/>
              <w:rPr>
                <w:sz w:val="20"/>
                <w:szCs w:val="20"/>
                <w:color w:val="auto"/>
              </w:rPr>
            </w:pPr>
            <w:r>
              <w:rPr>
                <w:rFonts w:ascii="Arial" w:cs="Arial" w:eastAsia="Arial" w:hAnsi="Arial"/>
                <w:sz w:val="11"/>
                <w:szCs w:val="11"/>
                <w:b w:val="1"/>
                <w:bCs w:val="1"/>
                <w:color w:val="05445E"/>
                <w:w w:val="96"/>
              </w:rPr>
              <w:t>Beginning</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05445E"/>
                <w:w w:val="98"/>
              </w:rPr>
              <w:t>We Have Not Implemented</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05445E"/>
                <w:w w:val="98"/>
              </w:rPr>
              <w:t>Compensation Practices:</w:t>
            </w:r>
          </w:p>
        </w:tc>
        <w:tc>
          <w:tcPr>
            <w:tcW w:w="1140" w:type="dxa"/>
            <w:vAlign w:val="bottom"/>
            <w:tcBorders>
              <w:right w:val="single" w:sz="8" w:color="494949"/>
            </w:tcBorders>
            <w:gridSpan w:val="3"/>
          </w:tcPr>
          <w:p>
            <w:pPr>
              <w:jc w:val="center"/>
              <w:ind w:right="80"/>
              <w:spacing w:after="0"/>
              <w:rPr>
                <w:sz w:val="20"/>
                <w:szCs w:val="20"/>
                <w:color w:val="auto"/>
              </w:rPr>
            </w:pPr>
            <w:r>
              <w:rPr>
                <w:rFonts w:ascii="Arial" w:cs="Arial" w:eastAsia="Arial" w:hAnsi="Arial"/>
                <w:sz w:val="11"/>
                <w:szCs w:val="11"/>
                <w:b w:val="1"/>
                <w:bCs w:val="1"/>
                <w:color w:val="05445E"/>
              </w:rPr>
              <w:t>on</w:t>
            </w:r>
          </w:p>
        </w:tc>
        <w:tc>
          <w:tcPr>
            <w:tcW w:w="440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05445E"/>
                <w:w w:val="97"/>
              </w:rPr>
              <w:t>or Have Discontinued:</w:t>
            </w:r>
          </w:p>
        </w:tc>
        <w:tc>
          <w:tcPr>
            <w:tcW w:w="1140" w:type="dxa"/>
            <w:vAlign w:val="bottom"/>
            <w:tcBorders>
              <w:right w:val="single" w:sz="8" w:color="auto"/>
            </w:tcBorders>
            <w:gridSpan w:val="7"/>
          </w:tcPr>
          <w:p>
            <w:pPr>
              <w:jc w:val="center"/>
              <w:ind w:right="60"/>
              <w:spacing w:after="0"/>
              <w:rPr>
                <w:sz w:val="20"/>
                <w:szCs w:val="20"/>
                <w:color w:val="auto"/>
              </w:rPr>
            </w:pPr>
            <w:r>
              <w:rPr>
                <w:rFonts w:ascii="Arial" w:cs="Arial" w:eastAsia="Arial" w:hAnsi="Arial"/>
                <w:sz w:val="11"/>
                <w:szCs w:val="11"/>
                <w:b w:val="1"/>
                <w:bCs w:val="1"/>
                <w:color w:val="05445E"/>
                <w:w w:val="96"/>
              </w:rPr>
              <w:t>Beginning on</w:t>
            </w:r>
          </w:p>
        </w:tc>
        <w:tc>
          <w:tcPr>
            <w:tcW w:w="0" w:type="dxa"/>
            <w:vAlign w:val="bottom"/>
          </w:tcPr>
          <w:p>
            <w:pPr>
              <w:spacing w:after="0"/>
              <w:rPr>
                <w:sz w:val="1"/>
                <w:szCs w:val="1"/>
                <w:color w:val="auto"/>
              </w:rPr>
            </w:pPr>
          </w:p>
        </w:tc>
      </w:tr>
      <w:tr>
        <w:trPr>
          <w:trHeight w:val="159"/>
        </w:trPr>
        <w:tc>
          <w:tcPr>
            <w:tcW w:w="4420" w:type="dxa"/>
            <w:vAlign w:val="bottom"/>
            <w:tcBorders>
              <w:left w:val="single" w:sz="8" w:color="auto"/>
              <w:bottom w:val="single" w:sz="8" w:color="494949"/>
              <w:right w:val="single" w:sz="8" w:color="auto"/>
            </w:tcBorders>
          </w:tcPr>
          <w:p>
            <w:pPr>
              <w:jc w:val="center"/>
              <w:spacing w:after="0"/>
              <w:rPr>
                <w:sz w:val="20"/>
                <w:szCs w:val="20"/>
                <w:color w:val="auto"/>
              </w:rPr>
            </w:pPr>
            <w:r>
              <w:rPr>
                <w:rFonts w:ascii="Arial" w:cs="Arial" w:eastAsia="Arial" w:hAnsi="Arial"/>
                <w:sz w:val="11"/>
                <w:szCs w:val="11"/>
                <w:b w:val="1"/>
                <w:bCs w:val="1"/>
                <w:color w:val="05445E"/>
                <w:w w:val="97"/>
              </w:rPr>
              <w:t>(What We Do)</w:t>
            </w:r>
          </w:p>
        </w:tc>
        <w:tc>
          <w:tcPr>
            <w:tcW w:w="1140" w:type="dxa"/>
            <w:vAlign w:val="bottom"/>
            <w:tcBorders>
              <w:bottom w:val="single" w:sz="8" w:color="494949"/>
              <w:right w:val="single" w:sz="8" w:color="494949"/>
            </w:tcBorders>
            <w:gridSpan w:val="3"/>
          </w:tcPr>
          <w:p>
            <w:pPr>
              <w:jc w:val="center"/>
              <w:ind w:right="60"/>
              <w:spacing w:after="0"/>
              <w:rPr>
                <w:sz w:val="20"/>
                <w:szCs w:val="20"/>
                <w:color w:val="auto"/>
              </w:rPr>
            </w:pPr>
            <w:r>
              <w:rPr>
                <w:rFonts w:ascii="Arial" w:cs="Arial" w:eastAsia="Arial" w:hAnsi="Arial"/>
                <w:sz w:val="11"/>
                <w:szCs w:val="11"/>
                <w:b w:val="1"/>
                <w:bCs w:val="1"/>
                <w:color w:val="05445E"/>
                <w:w w:val="91"/>
              </w:rPr>
              <w:t>Page</w:t>
            </w:r>
          </w:p>
        </w:tc>
        <w:tc>
          <w:tcPr>
            <w:tcW w:w="4400" w:type="dxa"/>
            <w:vAlign w:val="bottom"/>
            <w:tcBorders>
              <w:bottom w:val="single" w:sz="8" w:color="494949"/>
              <w:right w:val="single" w:sz="8" w:color="auto"/>
            </w:tcBorders>
          </w:tcPr>
          <w:p>
            <w:pPr>
              <w:jc w:val="center"/>
              <w:spacing w:after="0"/>
              <w:rPr>
                <w:sz w:val="20"/>
                <w:szCs w:val="20"/>
                <w:color w:val="auto"/>
              </w:rPr>
            </w:pPr>
            <w:r>
              <w:rPr>
                <w:rFonts w:ascii="Arial" w:cs="Arial" w:eastAsia="Arial" w:hAnsi="Arial"/>
                <w:sz w:val="11"/>
                <w:szCs w:val="11"/>
                <w:b w:val="1"/>
                <w:bCs w:val="1"/>
                <w:color w:val="05445E"/>
                <w:w w:val="97"/>
              </w:rPr>
              <w:t>(What We Don’t Do)</w:t>
            </w:r>
          </w:p>
        </w:tc>
        <w:tc>
          <w:tcPr>
            <w:tcW w:w="1140" w:type="dxa"/>
            <w:vAlign w:val="bottom"/>
            <w:tcBorders>
              <w:bottom w:val="single" w:sz="8" w:color="494949"/>
              <w:right w:val="single" w:sz="8" w:color="auto"/>
            </w:tcBorders>
            <w:gridSpan w:val="7"/>
          </w:tcPr>
          <w:p>
            <w:pPr>
              <w:jc w:val="center"/>
              <w:ind w:right="40"/>
              <w:spacing w:after="0"/>
              <w:rPr>
                <w:sz w:val="20"/>
                <w:szCs w:val="20"/>
                <w:color w:val="auto"/>
              </w:rPr>
            </w:pPr>
            <w:r>
              <w:rPr>
                <w:rFonts w:ascii="Arial" w:cs="Arial" w:eastAsia="Arial" w:hAnsi="Arial"/>
                <w:sz w:val="11"/>
                <w:szCs w:val="11"/>
                <w:b w:val="1"/>
                <w:bCs w:val="1"/>
                <w:color w:val="05445E"/>
                <w:w w:val="98"/>
              </w:rPr>
              <w:t>Page</w:t>
            </w:r>
          </w:p>
        </w:tc>
        <w:tc>
          <w:tcPr>
            <w:tcW w:w="0" w:type="dxa"/>
            <w:vAlign w:val="bottom"/>
          </w:tcPr>
          <w:p>
            <w:pPr>
              <w:spacing w:after="0"/>
              <w:rPr>
                <w:sz w:val="1"/>
                <w:szCs w:val="1"/>
                <w:color w:val="auto"/>
              </w:rPr>
            </w:pPr>
          </w:p>
        </w:tc>
      </w:tr>
      <w:tr>
        <w:trPr>
          <w:trHeight w:val="134"/>
        </w:trPr>
        <w:tc>
          <w:tcPr>
            <w:tcW w:w="4420" w:type="dxa"/>
            <w:vAlign w:val="bottom"/>
            <w:tcBorders>
              <w:left w:val="single" w:sz="8" w:color="auto"/>
              <w:bottom w:val="single" w:sz="8" w:color="DBDBDB"/>
              <w:right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We seek alignment of pay and performance each year. A significant portion of our</w:t>
            </w:r>
          </w:p>
        </w:tc>
        <w:tc>
          <w:tcPr>
            <w:tcW w:w="480" w:type="dxa"/>
            <w:vAlign w:val="bottom"/>
            <w:tcBorders>
              <w:bottom w:val="single" w:sz="8" w:color="DBDBDB"/>
            </w:tcBorders>
            <w:shd w:val="clear" w:color="auto" w:fill="DBDBDB"/>
          </w:tcPr>
          <w:p>
            <w:pPr>
              <w:spacing w:after="0"/>
              <w:rPr>
                <w:sz w:val="11"/>
                <w:szCs w:val="11"/>
                <w:color w:val="auto"/>
              </w:rPr>
            </w:pPr>
          </w:p>
        </w:tc>
        <w:tc>
          <w:tcPr>
            <w:tcW w:w="120" w:type="dxa"/>
            <w:vAlign w:val="bottom"/>
            <w:tcBorders>
              <w:bottom w:val="single" w:sz="8" w:color="05445E"/>
            </w:tcBorders>
            <w:shd w:val="clear" w:color="auto" w:fill="DBDBDB"/>
          </w:tcPr>
          <w:p>
            <w:pPr>
              <w:jc w:val="center"/>
              <w:spacing w:after="0" w:line="106" w:lineRule="exact"/>
              <w:rPr>
                <w:sz w:val="20"/>
                <w:szCs w:val="20"/>
                <w:color w:val="auto"/>
              </w:rPr>
            </w:pPr>
            <w:r>
              <w:rPr>
                <w:rFonts w:ascii="Arial" w:cs="Arial" w:eastAsia="Arial" w:hAnsi="Arial"/>
                <w:sz w:val="11"/>
                <w:szCs w:val="11"/>
                <w:color w:val="05445E"/>
                <w:w w:val="97"/>
              </w:rPr>
              <w:t>37</w:t>
            </w:r>
          </w:p>
        </w:tc>
        <w:tc>
          <w:tcPr>
            <w:tcW w:w="540" w:type="dxa"/>
            <w:vAlign w:val="bottom"/>
            <w:tcBorders>
              <w:bottom w:val="single" w:sz="8" w:color="DBDBDB"/>
              <w:right w:val="single" w:sz="8" w:color="494949"/>
            </w:tcBorders>
            <w:shd w:val="clear" w:color="auto" w:fill="DBDBDB"/>
          </w:tcPr>
          <w:p>
            <w:pPr>
              <w:spacing w:after="0"/>
              <w:rPr>
                <w:sz w:val="11"/>
                <w:szCs w:val="11"/>
                <w:color w:val="auto"/>
              </w:rPr>
            </w:pPr>
          </w:p>
        </w:tc>
        <w:tc>
          <w:tcPr>
            <w:tcW w:w="4400" w:type="dxa"/>
            <w:vAlign w:val="bottom"/>
            <w:tcBorders>
              <w:bottom w:val="single" w:sz="8" w:color="DBDBDB"/>
              <w:right w:val="single" w:sz="8" w:color="auto"/>
            </w:tcBorders>
            <w:shd w:val="clear" w:color="auto" w:fill="DBDBDB"/>
          </w:tcPr>
          <w:p>
            <w:pPr>
              <w:spacing w:after="0"/>
              <w:rPr>
                <w:sz w:val="20"/>
                <w:szCs w:val="20"/>
                <w:color w:val="auto"/>
              </w:rPr>
            </w:pPr>
            <w:r>
              <w:rPr>
                <w:rFonts w:ascii="Arial" w:cs="Arial" w:eastAsia="Arial" w:hAnsi="Arial"/>
                <w:sz w:val="11"/>
                <w:szCs w:val="11"/>
                <w:color w:val="auto"/>
                <w:w w:val="99"/>
              </w:rPr>
              <w:t>Other than an Offer Letter with Mr. Nolan (which expires October 31, 2026), entered into in</w:t>
            </w:r>
          </w:p>
        </w:tc>
        <w:tc>
          <w:tcPr>
            <w:tcW w:w="440" w:type="dxa"/>
            <w:vAlign w:val="bottom"/>
            <w:tcBorders>
              <w:bottom w:val="single" w:sz="8" w:color="DBDBDB"/>
            </w:tcBorders>
            <w:shd w:val="clear" w:color="auto" w:fill="DBDBDB"/>
          </w:tcPr>
          <w:p>
            <w:pPr>
              <w:spacing w:after="0"/>
              <w:rPr>
                <w:sz w:val="11"/>
                <w:szCs w:val="11"/>
                <w:color w:val="auto"/>
              </w:rPr>
            </w:pPr>
          </w:p>
        </w:tc>
        <w:tc>
          <w:tcPr>
            <w:tcW w:w="80" w:type="dxa"/>
            <w:vAlign w:val="bottom"/>
            <w:tcBorders>
              <w:bottom w:val="single" w:sz="8" w:color="05445E"/>
            </w:tcBorders>
            <w:gridSpan w:val="2"/>
            <w:shd w:val="clear" w:color="auto" w:fill="DBDBDB"/>
          </w:tcPr>
          <w:p>
            <w:pPr>
              <w:jc w:val="right"/>
              <w:ind w:right="20"/>
              <w:spacing w:after="0" w:line="106" w:lineRule="exact"/>
              <w:rPr>
                <w:sz w:val="20"/>
                <w:szCs w:val="20"/>
                <w:color w:val="auto"/>
              </w:rPr>
            </w:pPr>
            <w:r>
              <w:rPr>
                <w:rFonts w:ascii="Arial" w:cs="Arial" w:eastAsia="Arial" w:hAnsi="Arial"/>
                <w:sz w:val="10"/>
                <w:szCs w:val="10"/>
                <w:color w:val="05445E"/>
                <w:w w:val="71"/>
              </w:rPr>
              <w:t>5</w:t>
            </w:r>
          </w:p>
        </w:tc>
        <w:tc>
          <w:tcPr>
            <w:tcW w:w="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05445E"/>
              </w:rPr>
              <w:t>-</w:t>
            </w:r>
          </w:p>
        </w:tc>
        <w:tc>
          <w:tcPr>
            <w:tcW w:w="60" w:type="dxa"/>
            <w:vAlign w:val="bottom"/>
            <w:tcBorders>
              <w:bottom w:val="single" w:sz="8" w:color="05445E"/>
            </w:tcBorders>
            <w:gridSpan w:val="2"/>
            <w:shd w:val="clear" w:color="auto" w:fill="DBDBDB"/>
          </w:tcPr>
          <w:p>
            <w:pPr>
              <w:jc w:val="right"/>
              <w:spacing w:after="0" w:line="106" w:lineRule="exact"/>
              <w:rPr>
                <w:sz w:val="20"/>
                <w:szCs w:val="20"/>
                <w:color w:val="auto"/>
              </w:rPr>
            </w:pPr>
            <w:r>
              <w:rPr>
                <w:rFonts w:ascii="Arial" w:cs="Arial" w:eastAsia="Arial" w:hAnsi="Arial"/>
                <w:sz w:val="10"/>
                <w:szCs w:val="10"/>
                <w:color w:val="05445E"/>
                <w:w w:val="71"/>
              </w:rPr>
              <w:t>6</w:t>
            </w:r>
          </w:p>
        </w:tc>
        <w:tc>
          <w:tcPr>
            <w:tcW w:w="480" w:type="dxa"/>
            <w:vAlign w:val="bottom"/>
            <w:tcBorders>
              <w:bottom w:val="single" w:sz="8" w:color="DBDBDB"/>
              <w:right w:val="single" w:sz="8" w:color="494949"/>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compensation program is performance-based through the use of our short-term and long-</w:t>
            </w:r>
          </w:p>
        </w:tc>
        <w:tc>
          <w:tcPr>
            <w:tcW w:w="4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40" w:type="dxa"/>
            <w:vAlign w:val="bottom"/>
            <w:tcBorders>
              <w:right w:val="single" w:sz="8" w:color="494949"/>
            </w:tcBorders>
            <w:shd w:val="clear" w:color="auto" w:fill="DBDBDB"/>
          </w:tcPr>
          <w:p>
            <w:pPr>
              <w:spacing w:after="0"/>
              <w:rPr>
                <w:sz w:val="10"/>
                <w:szCs w:val="10"/>
                <w:color w:val="auto"/>
              </w:rPr>
            </w:pPr>
          </w:p>
        </w:tc>
        <w:tc>
          <w:tcPr>
            <w:tcW w:w="440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1"/>
                <w:szCs w:val="11"/>
                <w:color w:val="auto"/>
              </w:rPr>
              <w:t>connection with his election as Chief Executive Officer, and an Offer Letter with Mr.</w:t>
            </w:r>
          </w:p>
        </w:tc>
        <w:tc>
          <w:tcPr>
            <w:tcW w:w="44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40" w:type="dxa"/>
            <w:vAlign w:val="bottom"/>
            <w:shd w:val="clear" w:color="auto" w:fill="DBDBDB"/>
          </w:tcPr>
          <w:p>
            <w:pPr>
              <w:spacing w:after="0"/>
              <w:rPr>
                <w:sz w:val="10"/>
                <w:szCs w:val="10"/>
                <w:color w:val="auto"/>
              </w:rPr>
            </w:pPr>
          </w:p>
        </w:tc>
        <w:tc>
          <w:tcPr>
            <w:tcW w:w="480" w:type="dxa"/>
            <w:vAlign w:val="bottom"/>
            <w:tcBorders>
              <w:right w:val="single" w:sz="8" w:color="494949"/>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term incentive plans.</w:t>
            </w:r>
          </w:p>
        </w:tc>
        <w:tc>
          <w:tcPr>
            <w:tcW w:w="4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40" w:type="dxa"/>
            <w:vAlign w:val="bottom"/>
            <w:tcBorders>
              <w:right w:val="single" w:sz="8" w:color="494949"/>
            </w:tcBorders>
            <w:shd w:val="clear" w:color="auto" w:fill="DBDBDB"/>
          </w:tcPr>
          <w:p>
            <w:pPr>
              <w:spacing w:after="0"/>
              <w:rPr>
                <w:sz w:val="11"/>
                <w:szCs w:val="11"/>
                <w:color w:val="auto"/>
              </w:rPr>
            </w:pPr>
          </w:p>
        </w:tc>
        <w:tc>
          <w:tcPr>
            <w:tcW w:w="440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1"/>
                <w:szCs w:val="11"/>
                <w:color w:val="auto"/>
              </w:rPr>
              <w:t>Augdahl, entered into in connection with his promotion to Executive Vice President and</w:t>
            </w:r>
          </w:p>
        </w:tc>
        <w:tc>
          <w:tcPr>
            <w:tcW w:w="44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480" w:type="dxa"/>
            <w:vAlign w:val="bottom"/>
            <w:tcBorders>
              <w:right w:val="single" w:sz="8" w:color="494949"/>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40" w:type="dxa"/>
            <w:vAlign w:val="bottom"/>
            <w:tcBorders>
              <w:right w:val="single" w:sz="8" w:color="494949"/>
            </w:tcBorders>
            <w:shd w:val="clear" w:color="auto" w:fill="DBDBDB"/>
          </w:tcPr>
          <w:p>
            <w:pPr>
              <w:spacing w:after="0"/>
              <w:rPr>
                <w:sz w:val="10"/>
                <w:szCs w:val="10"/>
                <w:color w:val="auto"/>
              </w:rPr>
            </w:pPr>
          </w:p>
        </w:tc>
        <w:tc>
          <w:tcPr>
            <w:tcW w:w="440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1"/>
                <w:szCs w:val="11"/>
                <w:color w:val="auto"/>
              </w:rPr>
              <w:t>Chief Financial Officer, the Company has no employment contracts for our Named</w:t>
            </w:r>
          </w:p>
        </w:tc>
        <w:tc>
          <w:tcPr>
            <w:tcW w:w="44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40" w:type="dxa"/>
            <w:vAlign w:val="bottom"/>
            <w:shd w:val="clear" w:color="auto" w:fill="DBDBDB"/>
          </w:tcPr>
          <w:p>
            <w:pPr>
              <w:spacing w:after="0"/>
              <w:rPr>
                <w:sz w:val="10"/>
                <w:szCs w:val="10"/>
                <w:color w:val="auto"/>
              </w:rPr>
            </w:pPr>
          </w:p>
        </w:tc>
        <w:tc>
          <w:tcPr>
            <w:tcW w:w="480" w:type="dxa"/>
            <w:vAlign w:val="bottom"/>
            <w:tcBorders>
              <w:right w:val="single" w:sz="8" w:color="494949"/>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420" w:type="dxa"/>
            <w:vAlign w:val="bottom"/>
            <w:tcBorders>
              <w:left w:val="single" w:sz="8" w:color="auto"/>
              <w:bottom w:val="single" w:sz="8" w:color="DBDBDB"/>
              <w:right w:val="single" w:sz="8" w:color="auto"/>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spacing w:after="0"/>
              <w:rPr>
                <w:sz w:val="12"/>
                <w:szCs w:val="12"/>
                <w:color w:val="auto"/>
              </w:rPr>
            </w:pPr>
          </w:p>
        </w:tc>
        <w:tc>
          <w:tcPr>
            <w:tcW w:w="120" w:type="dxa"/>
            <w:vAlign w:val="bottom"/>
            <w:tcBorders>
              <w:bottom w:val="single" w:sz="8" w:color="DBDBDB"/>
            </w:tcBorders>
            <w:shd w:val="clear" w:color="auto" w:fill="DBDBDB"/>
          </w:tcPr>
          <w:p>
            <w:pPr>
              <w:spacing w:after="0"/>
              <w:rPr>
                <w:sz w:val="12"/>
                <w:szCs w:val="12"/>
                <w:color w:val="auto"/>
              </w:rPr>
            </w:pPr>
          </w:p>
        </w:tc>
        <w:tc>
          <w:tcPr>
            <w:tcW w:w="540" w:type="dxa"/>
            <w:vAlign w:val="bottom"/>
            <w:tcBorders>
              <w:bottom w:val="single" w:sz="8" w:color="DBDBDB"/>
              <w:right w:val="single" w:sz="8" w:color="494949"/>
            </w:tcBorders>
            <w:shd w:val="clear" w:color="auto" w:fill="DBDBDB"/>
          </w:tcPr>
          <w:p>
            <w:pPr>
              <w:spacing w:after="0"/>
              <w:rPr>
                <w:sz w:val="12"/>
                <w:szCs w:val="12"/>
                <w:color w:val="auto"/>
              </w:rPr>
            </w:pPr>
          </w:p>
        </w:tc>
        <w:tc>
          <w:tcPr>
            <w:tcW w:w="4400" w:type="dxa"/>
            <w:vAlign w:val="bottom"/>
            <w:tcBorders>
              <w:bottom w:val="single" w:sz="8" w:color="DBDBDB"/>
              <w:right w:val="single" w:sz="8" w:color="auto"/>
            </w:tcBorders>
            <w:shd w:val="clear" w:color="auto" w:fill="DBDBDB"/>
          </w:tcPr>
          <w:p>
            <w:pPr>
              <w:spacing w:after="0"/>
              <w:rPr>
                <w:sz w:val="20"/>
                <w:szCs w:val="20"/>
                <w:color w:val="auto"/>
              </w:rPr>
            </w:pPr>
            <w:r>
              <w:rPr>
                <w:rFonts w:ascii="Arial" w:cs="Arial" w:eastAsia="Arial" w:hAnsi="Arial"/>
                <w:sz w:val="11"/>
                <w:szCs w:val="11"/>
                <w:color w:val="auto"/>
              </w:rPr>
              <w:t>Executive Officers.</w:t>
            </w:r>
          </w:p>
        </w:tc>
        <w:tc>
          <w:tcPr>
            <w:tcW w:w="440" w:type="dxa"/>
            <w:vAlign w:val="bottom"/>
            <w:tcBorders>
              <w:bottom w:val="single" w:sz="8" w:color="DBDBDB"/>
            </w:tcBorders>
            <w:shd w:val="clear" w:color="auto" w:fill="DBDBDB"/>
          </w:tcPr>
          <w:p>
            <w:pPr>
              <w:spacing w:after="0"/>
              <w:rPr>
                <w:sz w:val="12"/>
                <w:szCs w:val="12"/>
                <w:color w:val="auto"/>
              </w:rPr>
            </w:pPr>
          </w:p>
        </w:tc>
        <w:tc>
          <w:tcPr>
            <w:tcW w:w="6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right w:val="single" w:sz="8" w:color="494949"/>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494949"/>
              <w:right w:val="single" w:sz="8" w:color="494949"/>
            </w:tcBorders>
            <w:shd w:val="clear" w:color="auto" w:fill="DBDBDB"/>
          </w:tcPr>
          <w:p>
            <w:pPr>
              <w:ind w:left="20"/>
              <w:spacing w:after="0"/>
              <w:rPr>
                <w:sz w:val="20"/>
                <w:szCs w:val="20"/>
                <w:color w:val="auto"/>
              </w:rPr>
            </w:pPr>
            <w:r>
              <w:rPr>
                <w:rFonts w:ascii="Arial" w:cs="Arial" w:eastAsia="Arial" w:hAnsi="Arial"/>
                <w:sz w:val="11"/>
                <w:szCs w:val="11"/>
                <w:color w:val="auto"/>
              </w:rPr>
              <w:t>We review “tally sheets” and realizable pay and performance for our Named Executive</w:t>
            </w:r>
          </w:p>
        </w:tc>
        <w:tc>
          <w:tcPr>
            <w:tcW w:w="600" w:type="dxa"/>
            <w:vAlign w:val="bottom"/>
            <w:gridSpan w:val="2"/>
            <w:shd w:val="clear" w:color="auto" w:fill="DBDBDB"/>
          </w:tcPr>
          <w:p>
            <w:pPr>
              <w:jc w:val="center"/>
              <w:ind w:left="426"/>
              <w:spacing w:after="0"/>
              <w:rPr>
                <w:sz w:val="20"/>
                <w:szCs w:val="20"/>
                <w:color w:val="auto"/>
              </w:rPr>
            </w:pPr>
            <w:r>
              <w:rPr>
                <w:rFonts w:ascii="Arial" w:cs="Arial" w:eastAsia="Arial" w:hAnsi="Arial"/>
                <w:sz w:val="11"/>
                <w:szCs w:val="11"/>
                <w:color w:val="05445E"/>
                <w:w w:val="97"/>
              </w:rPr>
              <w:t>40</w:t>
            </w:r>
          </w:p>
        </w:tc>
        <w:tc>
          <w:tcPr>
            <w:tcW w:w="540" w:type="dxa"/>
            <w:vAlign w:val="bottom"/>
            <w:tcBorders>
              <w:right w:val="single" w:sz="8" w:color="494949"/>
            </w:tcBorders>
            <w:shd w:val="clear" w:color="auto" w:fill="DBDBDB"/>
          </w:tcPr>
          <w:p>
            <w:pPr>
              <w:spacing w:after="0"/>
              <w:rPr>
                <w:sz w:val="10"/>
                <w:szCs w:val="10"/>
                <w:color w:val="auto"/>
              </w:rPr>
            </w:pPr>
          </w:p>
        </w:tc>
        <w:tc>
          <w:tcPr>
            <w:tcW w:w="4400" w:type="dxa"/>
            <w:vAlign w:val="bottom"/>
            <w:tcBorders>
              <w:right w:val="single" w:sz="8" w:color="494949"/>
            </w:tcBorders>
            <w:vMerge w:val="restart"/>
            <w:shd w:val="clear" w:color="auto" w:fill="DBDBDB"/>
          </w:tcPr>
          <w:p>
            <w:pPr>
              <w:spacing w:after="0"/>
              <w:rPr>
                <w:sz w:val="20"/>
                <w:szCs w:val="20"/>
                <w:color w:val="auto"/>
              </w:rPr>
            </w:pPr>
            <w:r>
              <w:rPr>
                <w:rFonts w:ascii="Arial" w:cs="Arial" w:eastAsia="Arial" w:hAnsi="Arial"/>
                <w:sz w:val="11"/>
                <w:szCs w:val="11"/>
                <w:color w:val="auto"/>
              </w:rPr>
              <w:t>We generally do not pay short-term incentive compensation if our Company is not</w:t>
            </w:r>
          </w:p>
        </w:tc>
        <w:tc>
          <w:tcPr>
            <w:tcW w:w="620" w:type="dxa"/>
            <w:vAlign w:val="bottom"/>
            <w:gridSpan w:val="5"/>
            <w:shd w:val="clear" w:color="auto" w:fill="DBDBDB"/>
          </w:tcPr>
          <w:p>
            <w:pPr>
              <w:jc w:val="center"/>
              <w:ind w:left="446"/>
              <w:spacing w:after="0"/>
              <w:rPr>
                <w:sz w:val="20"/>
                <w:szCs w:val="20"/>
                <w:color w:val="auto"/>
              </w:rPr>
            </w:pPr>
            <w:r>
              <w:rPr>
                <w:rFonts w:ascii="Arial" w:cs="Arial" w:eastAsia="Arial" w:hAnsi="Arial"/>
                <w:sz w:val="11"/>
                <w:szCs w:val="11"/>
                <w:color w:val="05445E"/>
                <w:w w:val="97"/>
              </w:rPr>
              <w:t>42</w:t>
            </w:r>
          </w:p>
        </w:tc>
        <w:tc>
          <w:tcPr>
            <w:tcW w:w="40" w:type="dxa"/>
            <w:vAlign w:val="bottom"/>
            <w:shd w:val="clear" w:color="auto" w:fill="DBDBDB"/>
          </w:tcPr>
          <w:p>
            <w:pPr>
              <w:spacing w:after="0"/>
              <w:rPr>
                <w:sz w:val="10"/>
                <w:szCs w:val="10"/>
                <w:color w:val="auto"/>
              </w:rPr>
            </w:pPr>
          </w:p>
        </w:tc>
        <w:tc>
          <w:tcPr>
            <w:tcW w:w="480" w:type="dxa"/>
            <w:vAlign w:val="bottom"/>
            <w:tcBorders>
              <w:right w:val="single" w:sz="8" w:color="494949"/>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420" w:type="dxa"/>
            <w:vAlign w:val="bottom"/>
            <w:tcBorders>
              <w:top w:val="single" w:sz="8" w:color="DBDBDB"/>
              <w:left w:val="single" w:sz="8" w:color="494949"/>
              <w:right w:val="single" w:sz="8" w:color="494949"/>
            </w:tcBorders>
            <w:vMerge w:val="restart"/>
            <w:shd w:val="clear" w:color="auto" w:fill="DBDBDB"/>
          </w:tcPr>
          <w:p>
            <w:pPr>
              <w:ind w:left="20"/>
              <w:spacing w:after="0"/>
              <w:rPr>
                <w:sz w:val="20"/>
                <w:szCs w:val="20"/>
                <w:color w:val="auto"/>
              </w:rPr>
            </w:pPr>
            <w:r>
              <w:rPr>
                <w:rFonts w:ascii="Arial" w:cs="Arial" w:eastAsia="Arial" w:hAnsi="Arial"/>
                <w:sz w:val="11"/>
                <w:szCs w:val="11"/>
                <w:color w:val="auto"/>
              </w:rPr>
              <w:t>Officers and use that information as a factor in making compensation decisions.</w:t>
            </w:r>
          </w:p>
        </w:tc>
        <w:tc>
          <w:tcPr>
            <w:tcW w:w="48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05445E"/>
            </w:tcBorders>
            <w:shd w:val="clear" w:color="auto" w:fill="DBDBDB"/>
          </w:tcPr>
          <w:p>
            <w:pPr>
              <w:spacing w:after="0"/>
              <w:rPr>
                <w:sz w:val="5"/>
                <w:szCs w:val="5"/>
                <w:color w:val="auto"/>
              </w:rPr>
            </w:pPr>
          </w:p>
        </w:tc>
        <w:tc>
          <w:tcPr>
            <w:tcW w:w="540" w:type="dxa"/>
            <w:vAlign w:val="bottom"/>
            <w:tcBorders>
              <w:top w:val="single" w:sz="8" w:color="DBDBDB"/>
              <w:right w:val="single" w:sz="8" w:color="494949"/>
            </w:tcBorders>
            <w:shd w:val="clear" w:color="auto" w:fill="DBDBDB"/>
          </w:tcPr>
          <w:p>
            <w:pPr>
              <w:spacing w:after="0"/>
              <w:rPr>
                <w:sz w:val="5"/>
                <w:szCs w:val="5"/>
                <w:color w:val="auto"/>
              </w:rPr>
            </w:pPr>
          </w:p>
        </w:tc>
        <w:tc>
          <w:tcPr>
            <w:tcW w:w="4400" w:type="dxa"/>
            <w:vAlign w:val="bottom"/>
            <w:tcBorders>
              <w:top w:val="single" w:sz="8" w:color="DBDBDB"/>
              <w:right w:val="single" w:sz="8" w:color="494949"/>
            </w:tcBorders>
            <w:vMerge w:val="continue"/>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05445E"/>
            </w:tcBorders>
            <w:shd w:val="clear" w:color="auto" w:fill="DBDBDB"/>
          </w:tcPr>
          <w:p>
            <w:pPr>
              <w:spacing w:after="0"/>
              <w:rPr>
                <w:sz w:val="5"/>
                <w:szCs w:val="5"/>
                <w:color w:val="auto"/>
              </w:rPr>
            </w:pPr>
          </w:p>
        </w:tc>
        <w:tc>
          <w:tcPr>
            <w:tcW w:w="80" w:type="dxa"/>
            <w:vAlign w:val="bottom"/>
            <w:tcBorders>
              <w:top w:val="single" w:sz="8" w:color="05445E"/>
            </w:tcBorders>
            <w:shd w:val="clear" w:color="auto" w:fill="DBDBDB"/>
          </w:tcPr>
          <w:p>
            <w:pPr>
              <w:spacing w:after="0"/>
              <w:rPr>
                <w:sz w:val="5"/>
                <w:szCs w:val="5"/>
                <w:color w:val="auto"/>
              </w:rPr>
            </w:pPr>
          </w:p>
        </w:tc>
        <w:tc>
          <w:tcPr>
            <w:tcW w:w="20" w:type="dxa"/>
            <w:vAlign w:val="bottom"/>
            <w:tcBorders>
              <w:top w:val="single" w:sz="8" w:color="05445E"/>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80" w:type="dxa"/>
            <w:vAlign w:val="bottom"/>
            <w:tcBorders>
              <w:top w:val="single" w:sz="8" w:color="DBDBDB"/>
              <w:right w:val="single" w:sz="8" w:color="494949"/>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420" w:type="dxa"/>
            <w:vAlign w:val="bottom"/>
            <w:tcBorders>
              <w:left w:val="single" w:sz="8" w:color="494949"/>
              <w:right w:val="single" w:sz="8" w:color="494949"/>
            </w:tcBorders>
            <w:vMerge w:val="continue"/>
            <w:shd w:val="clear" w:color="auto" w:fill="DBDBDB"/>
          </w:tcPr>
          <w:p>
            <w:pPr>
              <w:spacing w:after="0"/>
              <w:rPr>
                <w:sz w:val="6"/>
                <w:szCs w:val="6"/>
                <w:color w:val="auto"/>
              </w:rPr>
            </w:pPr>
          </w:p>
        </w:tc>
        <w:tc>
          <w:tcPr>
            <w:tcW w:w="48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540" w:type="dxa"/>
            <w:vAlign w:val="bottom"/>
            <w:tcBorders>
              <w:right w:val="single" w:sz="8" w:color="494949"/>
            </w:tcBorders>
            <w:shd w:val="clear" w:color="auto" w:fill="DBDBDB"/>
          </w:tcPr>
          <w:p>
            <w:pPr>
              <w:spacing w:after="0"/>
              <w:rPr>
                <w:sz w:val="6"/>
                <w:szCs w:val="6"/>
                <w:color w:val="auto"/>
              </w:rPr>
            </w:pPr>
          </w:p>
        </w:tc>
        <w:tc>
          <w:tcPr>
            <w:tcW w:w="4400" w:type="dxa"/>
            <w:vAlign w:val="bottom"/>
            <w:tcBorders>
              <w:right w:val="single" w:sz="8" w:color="494949"/>
            </w:tcBorders>
            <w:vMerge w:val="restart"/>
            <w:shd w:val="clear" w:color="auto" w:fill="DBDBDB"/>
          </w:tcPr>
          <w:p>
            <w:pPr>
              <w:spacing w:after="0"/>
              <w:rPr>
                <w:sz w:val="20"/>
                <w:szCs w:val="20"/>
                <w:color w:val="auto"/>
              </w:rPr>
            </w:pPr>
            <w:r>
              <w:rPr>
                <w:rFonts w:ascii="Arial" w:cs="Arial" w:eastAsia="Arial" w:hAnsi="Arial"/>
                <w:sz w:val="11"/>
                <w:szCs w:val="11"/>
                <w:color w:val="auto"/>
              </w:rPr>
              <w:t>profitable for the year.</w:t>
            </w:r>
          </w:p>
        </w:tc>
        <w:tc>
          <w:tcPr>
            <w:tcW w:w="440" w:type="dxa"/>
            <w:vAlign w:val="bottom"/>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40" w:type="dxa"/>
            <w:vAlign w:val="bottom"/>
            <w:shd w:val="clear" w:color="auto" w:fill="DBDBDB"/>
          </w:tcPr>
          <w:p>
            <w:pPr>
              <w:spacing w:after="0"/>
              <w:rPr>
                <w:sz w:val="6"/>
                <w:szCs w:val="6"/>
                <w:color w:val="auto"/>
              </w:rPr>
            </w:pPr>
          </w:p>
        </w:tc>
        <w:tc>
          <w:tcPr>
            <w:tcW w:w="480" w:type="dxa"/>
            <w:vAlign w:val="bottom"/>
            <w:tcBorders>
              <w:right w:val="single" w:sz="8" w:color="494949"/>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420" w:type="dxa"/>
            <w:vAlign w:val="bottom"/>
            <w:tcBorders>
              <w:left w:val="single" w:sz="8" w:color="494949"/>
              <w:bottom w:val="single" w:sz="8" w:color="494949"/>
              <w:right w:val="single" w:sz="8" w:color="494949"/>
            </w:tcBorders>
            <w:shd w:val="clear" w:color="auto" w:fill="DBDBDB"/>
          </w:tcPr>
          <w:p>
            <w:pPr>
              <w:spacing w:after="0"/>
              <w:rPr>
                <w:sz w:val="7"/>
                <w:szCs w:val="7"/>
                <w:color w:val="auto"/>
              </w:rPr>
            </w:pPr>
          </w:p>
        </w:tc>
        <w:tc>
          <w:tcPr>
            <w:tcW w:w="480" w:type="dxa"/>
            <w:vAlign w:val="bottom"/>
            <w:tcBorders>
              <w:bottom w:val="single" w:sz="8" w:color="494949"/>
            </w:tcBorders>
            <w:shd w:val="clear" w:color="auto" w:fill="DBDBDB"/>
          </w:tcPr>
          <w:p>
            <w:pPr>
              <w:spacing w:after="0"/>
              <w:rPr>
                <w:sz w:val="7"/>
                <w:szCs w:val="7"/>
                <w:color w:val="auto"/>
              </w:rPr>
            </w:pPr>
          </w:p>
        </w:tc>
        <w:tc>
          <w:tcPr>
            <w:tcW w:w="120" w:type="dxa"/>
            <w:vAlign w:val="bottom"/>
            <w:tcBorders>
              <w:bottom w:val="single" w:sz="8" w:color="494949"/>
            </w:tcBorders>
            <w:shd w:val="clear" w:color="auto" w:fill="DBDBDB"/>
          </w:tcPr>
          <w:p>
            <w:pPr>
              <w:spacing w:after="0"/>
              <w:rPr>
                <w:sz w:val="7"/>
                <w:szCs w:val="7"/>
                <w:color w:val="auto"/>
              </w:rPr>
            </w:pPr>
          </w:p>
        </w:tc>
        <w:tc>
          <w:tcPr>
            <w:tcW w:w="540" w:type="dxa"/>
            <w:vAlign w:val="bottom"/>
            <w:tcBorders>
              <w:bottom w:val="single" w:sz="8" w:color="494949"/>
              <w:right w:val="single" w:sz="8" w:color="494949"/>
            </w:tcBorders>
            <w:shd w:val="clear" w:color="auto" w:fill="DBDBDB"/>
          </w:tcPr>
          <w:p>
            <w:pPr>
              <w:spacing w:after="0"/>
              <w:rPr>
                <w:sz w:val="7"/>
                <w:szCs w:val="7"/>
                <w:color w:val="auto"/>
              </w:rPr>
            </w:pPr>
          </w:p>
        </w:tc>
        <w:tc>
          <w:tcPr>
            <w:tcW w:w="4400" w:type="dxa"/>
            <w:vAlign w:val="bottom"/>
            <w:tcBorders>
              <w:bottom w:val="single" w:sz="8" w:color="494949"/>
              <w:right w:val="single" w:sz="8" w:color="494949"/>
            </w:tcBorders>
            <w:vMerge w:val="continue"/>
            <w:shd w:val="clear" w:color="auto" w:fill="DBDBDB"/>
          </w:tcPr>
          <w:p>
            <w:pPr>
              <w:spacing w:after="0"/>
              <w:rPr>
                <w:sz w:val="7"/>
                <w:szCs w:val="7"/>
                <w:color w:val="auto"/>
              </w:rPr>
            </w:pPr>
          </w:p>
        </w:tc>
        <w:tc>
          <w:tcPr>
            <w:tcW w:w="440" w:type="dxa"/>
            <w:vAlign w:val="bottom"/>
            <w:tcBorders>
              <w:bottom w:val="single" w:sz="8" w:color="494949"/>
            </w:tcBorders>
            <w:shd w:val="clear" w:color="auto" w:fill="DBDBDB"/>
          </w:tcPr>
          <w:p>
            <w:pPr>
              <w:spacing w:after="0"/>
              <w:rPr>
                <w:sz w:val="7"/>
                <w:szCs w:val="7"/>
                <w:color w:val="auto"/>
              </w:rPr>
            </w:pPr>
          </w:p>
        </w:tc>
        <w:tc>
          <w:tcPr>
            <w:tcW w:w="60" w:type="dxa"/>
            <w:vAlign w:val="bottom"/>
            <w:tcBorders>
              <w:bottom w:val="single" w:sz="8" w:color="494949"/>
            </w:tcBorders>
            <w:shd w:val="clear" w:color="auto" w:fill="DBDBDB"/>
          </w:tcPr>
          <w:p>
            <w:pPr>
              <w:spacing w:after="0"/>
              <w:rPr>
                <w:sz w:val="7"/>
                <w:szCs w:val="7"/>
                <w:color w:val="auto"/>
              </w:rPr>
            </w:pPr>
          </w:p>
        </w:tc>
        <w:tc>
          <w:tcPr>
            <w:tcW w:w="20" w:type="dxa"/>
            <w:vAlign w:val="bottom"/>
            <w:tcBorders>
              <w:bottom w:val="single" w:sz="8" w:color="494949"/>
            </w:tcBorders>
            <w:shd w:val="clear" w:color="auto" w:fill="DBDBDB"/>
          </w:tcPr>
          <w:p>
            <w:pPr>
              <w:spacing w:after="0"/>
              <w:rPr>
                <w:sz w:val="7"/>
                <w:szCs w:val="7"/>
                <w:color w:val="auto"/>
              </w:rPr>
            </w:pPr>
          </w:p>
        </w:tc>
        <w:tc>
          <w:tcPr>
            <w:tcW w:w="80" w:type="dxa"/>
            <w:vAlign w:val="bottom"/>
            <w:tcBorders>
              <w:bottom w:val="single" w:sz="8" w:color="494949"/>
            </w:tcBorders>
            <w:shd w:val="clear" w:color="auto" w:fill="DBDBDB"/>
          </w:tcPr>
          <w:p>
            <w:pPr>
              <w:spacing w:after="0"/>
              <w:rPr>
                <w:sz w:val="7"/>
                <w:szCs w:val="7"/>
                <w:color w:val="auto"/>
              </w:rPr>
            </w:pPr>
          </w:p>
        </w:tc>
        <w:tc>
          <w:tcPr>
            <w:tcW w:w="20" w:type="dxa"/>
            <w:vAlign w:val="bottom"/>
            <w:tcBorders>
              <w:bottom w:val="single" w:sz="8" w:color="494949"/>
            </w:tcBorders>
            <w:shd w:val="clear" w:color="auto" w:fill="DBDBDB"/>
          </w:tcPr>
          <w:p>
            <w:pPr>
              <w:spacing w:after="0"/>
              <w:rPr>
                <w:sz w:val="7"/>
                <w:szCs w:val="7"/>
                <w:color w:val="auto"/>
              </w:rPr>
            </w:pPr>
          </w:p>
        </w:tc>
        <w:tc>
          <w:tcPr>
            <w:tcW w:w="40" w:type="dxa"/>
            <w:vAlign w:val="bottom"/>
            <w:tcBorders>
              <w:bottom w:val="single" w:sz="8" w:color="494949"/>
            </w:tcBorders>
            <w:shd w:val="clear" w:color="auto" w:fill="DBDBDB"/>
          </w:tcPr>
          <w:p>
            <w:pPr>
              <w:spacing w:after="0"/>
              <w:rPr>
                <w:sz w:val="7"/>
                <w:szCs w:val="7"/>
                <w:color w:val="auto"/>
              </w:rPr>
            </w:pPr>
          </w:p>
        </w:tc>
        <w:tc>
          <w:tcPr>
            <w:tcW w:w="480" w:type="dxa"/>
            <w:vAlign w:val="bottom"/>
            <w:tcBorders>
              <w:bottom w:val="single" w:sz="8" w:color="494949"/>
              <w:right w:val="single" w:sz="8" w:color="494949"/>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The Compensation Committee annually determines whether its compensation consulting</w:t>
            </w:r>
          </w:p>
        </w:tc>
        <w:tc>
          <w:tcPr>
            <w:tcW w:w="600" w:type="dxa"/>
            <w:vAlign w:val="bottom"/>
            <w:gridSpan w:val="2"/>
          </w:tcPr>
          <w:p>
            <w:pPr>
              <w:jc w:val="center"/>
              <w:ind w:left="426"/>
              <w:spacing w:after="0"/>
              <w:rPr>
                <w:sz w:val="20"/>
                <w:szCs w:val="20"/>
                <w:color w:val="auto"/>
              </w:rPr>
            </w:pPr>
            <w:r>
              <w:rPr>
                <w:rFonts w:ascii="Arial" w:cs="Arial" w:eastAsia="Arial" w:hAnsi="Arial"/>
                <w:sz w:val="11"/>
                <w:szCs w:val="11"/>
                <w:color w:val="05445E"/>
                <w:w w:val="97"/>
              </w:rPr>
              <w:t>40</w:t>
            </w:r>
          </w:p>
        </w:tc>
        <w:tc>
          <w:tcPr>
            <w:tcW w:w="540" w:type="dxa"/>
            <w:vAlign w:val="bottom"/>
            <w:tcBorders>
              <w:right w:val="single" w:sz="8" w:color="494949"/>
            </w:tcBorders>
          </w:tcPr>
          <w:p>
            <w:pPr>
              <w:spacing w:after="0"/>
              <w:rPr>
                <w:sz w:val="10"/>
                <w:szCs w:val="10"/>
                <w:color w:val="auto"/>
              </w:rPr>
            </w:pPr>
          </w:p>
        </w:tc>
        <w:tc>
          <w:tcPr>
            <w:tcW w:w="4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We do not pay dividends during the restricted periods on unvested equity awards made</w:t>
            </w:r>
          </w:p>
        </w:tc>
        <w:tc>
          <w:tcPr>
            <w:tcW w:w="620" w:type="dxa"/>
            <w:vAlign w:val="bottom"/>
            <w:gridSpan w:val="5"/>
          </w:tcPr>
          <w:p>
            <w:pPr>
              <w:jc w:val="center"/>
              <w:ind w:left="446"/>
              <w:spacing w:after="0"/>
              <w:rPr>
                <w:sz w:val="20"/>
                <w:szCs w:val="20"/>
                <w:color w:val="auto"/>
              </w:rPr>
            </w:pPr>
            <w:r>
              <w:rPr>
                <w:rFonts w:ascii="Arial" w:cs="Arial" w:eastAsia="Arial" w:hAnsi="Arial"/>
                <w:sz w:val="11"/>
                <w:szCs w:val="11"/>
                <w:color w:val="05445E"/>
                <w:w w:val="97"/>
              </w:rPr>
              <w:t>46</w:t>
            </w:r>
          </w:p>
        </w:tc>
        <w:tc>
          <w:tcPr>
            <w:tcW w:w="40" w:type="dxa"/>
            <w:vAlign w:val="bottom"/>
          </w:tcPr>
          <w:p>
            <w:pPr>
              <w:spacing w:after="0"/>
              <w:rPr>
                <w:sz w:val="10"/>
                <w:szCs w:val="10"/>
                <w:color w:val="auto"/>
              </w:rPr>
            </w:pPr>
          </w:p>
        </w:tc>
        <w:tc>
          <w:tcPr>
            <w:tcW w:w="48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99"/>
              </w:rPr>
              <w:t>firm fully meets the stringent independence requirements under the final rules of the Dodd-</w:t>
            </w:r>
          </w:p>
        </w:tc>
        <w:tc>
          <w:tcPr>
            <w:tcW w:w="480" w:type="dxa"/>
            <w:vAlign w:val="bottom"/>
          </w:tcPr>
          <w:p>
            <w:pPr>
              <w:spacing w:after="0"/>
              <w:rPr>
                <w:sz w:val="10"/>
                <w:szCs w:val="10"/>
                <w:color w:val="auto"/>
              </w:rPr>
            </w:pPr>
          </w:p>
        </w:tc>
        <w:tc>
          <w:tcPr>
            <w:tcW w:w="120" w:type="dxa"/>
            <w:vAlign w:val="bottom"/>
            <w:tcBorders>
              <w:top w:val="single" w:sz="8" w:color="05445E"/>
            </w:tcBorders>
          </w:tcPr>
          <w:p>
            <w:pPr>
              <w:spacing w:after="0"/>
              <w:rPr>
                <w:sz w:val="10"/>
                <w:szCs w:val="10"/>
                <w:color w:val="auto"/>
              </w:rPr>
            </w:pPr>
          </w:p>
        </w:tc>
        <w:tc>
          <w:tcPr>
            <w:tcW w:w="540" w:type="dxa"/>
            <w:vAlign w:val="bottom"/>
            <w:tcBorders>
              <w:right w:val="single" w:sz="8" w:color="494949"/>
            </w:tcBorders>
          </w:tcPr>
          <w:p>
            <w:pPr>
              <w:spacing w:after="0"/>
              <w:rPr>
                <w:sz w:val="10"/>
                <w:szCs w:val="10"/>
                <w:color w:val="auto"/>
              </w:rPr>
            </w:pPr>
          </w:p>
        </w:tc>
        <w:tc>
          <w:tcPr>
            <w:tcW w:w="4400" w:type="dxa"/>
            <w:vAlign w:val="bottom"/>
            <w:tcBorders>
              <w:right w:val="single" w:sz="8" w:color="auto"/>
            </w:tcBorders>
          </w:tcPr>
          <w:p>
            <w:pPr>
              <w:spacing w:after="0" w:line="124" w:lineRule="exact"/>
              <w:rPr>
                <w:sz w:val="20"/>
                <w:szCs w:val="20"/>
                <w:color w:val="auto"/>
              </w:rPr>
            </w:pPr>
            <w:r>
              <w:rPr>
                <w:rFonts w:ascii="Arial" w:cs="Arial" w:eastAsia="Arial" w:hAnsi="Arial"/>
                <w:sz w:val="11"/>
                <w:szCs w:val="11"/>
                <w:color w:val="auto"/>
              </w:rPr>
              <w:t>pursuant to our 2019 Stock Incentive Plan.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5445E"/>
            </w:tcBorders>
          </w:tcPr>
          <w:p>
            <w:pPr>
              <w:spacing w:after="0"/>
              <w:rPr>
                <w:sz w:val="10"/>
                <w:szCs w:val="10"/>
                <w:color w:val="auto"/>
              </w:rPr>
            </w:pPr>
          </w:p>
        </w:tc>
        <w:tc>
          <w:tcPr>
            <w:tcW w:w="80" w:type="dxa"/>
            <w:vAlign w:val="bottom"/>
            <w:tcBorders>
              <w:top w:val="single" w:sz="8" w:color="05445E"/>
            </w:tcBorders>
          </w:tcPr>
          <w:p>
            <w:pPr>
              <w:spacing w:after="0"/>
              <w:rPr>
                <w:sz w:val="10"/>
                <w:szCs w:val="10"/>
                <w:color w:val="auto"/>
              </w:rPr>
            </w:pPr>
          </w:p>
        </w:tc>
        <w:tc>
          <w:tcPr>
            <w:tcW w:w="20" w:type="dxa"/>
            <w:vAlign w:val="bottom"/>
            <w:tcBorders>
              <w:top w:val="single" w:sz="8" w:color="05445E"/>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Frank Act.</w:t>
            </w:r>
          </w:p>
        </w:tc>
        <w:tc>
          <w:tcPr>
            <w:tcW w:w="480" w:type="dxa"/>
            <w:vAlign w:val="bottom"/>
            <w:tcBorders>
              <w:bottom w:val="single" w:sz="8" w:color="494949"/>
            </w:tcBorders>
          </w:tcPr>
          <w:p>
            <w:pPr>
              <w:spacing w:after="0"/>
              <w:rPr>
                <w:sz w:val="12"/>
                <w:szCs w:val="12"/>
                <w:color w:val="auto"/>
              </w:rPr>
            </w:pPr>
          </w:p>
        </w:tc>
        <w:tc>
          <w:tcPr>
            <w:tcW w:w="120" w:type="dxa"/>
            <w:vAlign w:val="bottom"/>
            <w:tcBorders>
              <w:bottom w:val="single" w:sz="8" w:color="494949"/>
            </w:tcBorders>
          </w:tcPr>
          <w:p>
            <w:pPr>
              <w:spacing w:after="0"/>
              <w:rPr>
                <w:sz w:val="12"/>
                <w:szCs w:val="12"/>
                <w:color w:val="auto"/>
              </w:rPr>
            </w:pPr>
          </w:p>
        </w:tc>
        <w:tc>
          <w:tcPr>
            <w:tcW w:w="540" w:type="dxa"/>
            <w:vAlign w:val="bottom"/>
            <w:tcBorders>
              <w:bottom w:val="single" w:sz="8" w:color="494949"/>
              <w:right w:val="single" w:sz="8" w:color="494949"/>
            </w:tcBorders>
          </w:tcPr>
          <w:p>
            <w:pPr>
              <w:spacing w:after="0"/>
              <w:rPr>
                <w:sz w:val="12"/>
                <w:szCs w:val="12"/>
                <w:color w:val="auto"/>
              </w:rPr>
            </w:pPr>
          </w:p>
        </w:tc>
        <w:tc>
          <w:tcPr>
            <w:tcW w:w="44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494949"/>
            </w:tcBorders>
          </w:tcPr>
          <w:p>
            <w:pPr>
              <w:spacing w:after="0"/>
              <w:rPr>
                <w:sz w:val="12"/>
                <w:szCs w:val="12"/>
                <w:color w:val="auto"/>
              </w:rPr>
            </w:pPr>
          </w:p>
        </w:tc>
        <w:tc>
          <w:tcPr>
            <w:tcW w:w="60" w:type="dxa"/>
            <w:vAlign w:val="bottom"/>
            <w:tcBorders>
              <w:bottom w:val="single" w:sz="8" w:color="494949"/>
            </w:tcBorders>
          </w:tcPr>
          <w:p>
            <w:pPr>
              <w:spacing w:after="0"/>
              <w:rPr>
                <w:sz w:val="12"/>
                <w:szCs w:val="12"/>
                <w:color w:val="auto"/>
              </w:rPr>
            </w:pPr>
          </w:p>
        </w:tc>
        <w:tc>
          <w:tcPr>
            <w:tcW w:w="20" w:type="dxa"/>
            <w:vAlign w:val="bottom"/>
            <w:tcBorders>
              <w:bottom w:val="single" w:sz="8" w:color="494949"/>
            </w:tcBorders>
          </w:tcPr>
          <w:p>
            <w:pPr>
              <w:spacing w:after="0"/>
              <w:rPr>
                <w:sz w:val="12"/>
                <w:szCs w:val="12"/>
                <w:color w:val="auto"/>
              </w:rPr>
            </w:pPr>
          </w:p>
        </w:tc>
        <w:tc>
          <w:tcPr>
            <w:tcW w:w="80" w:type="dxa"/>
            <w:vAlign w:val="bottom"/>
            <w:tcBorders>
              <w:bottom w:val="single" w:sz="8" w:color="494949"/>
            </w:tcBorders>
          </w:tcPr>
          <w:p>
            <w:pPr>
              <w:spacing w:after="0"/>
              <w:rPr>
                <w:sz w:val="12"/>
                <w:szCs w:val="12"/>
                <w:color w:val="auto"/>
              </w:rPr>
            </w:pPr>
          </w:p>
        </w:tc>
        <w:tc>
          <w:tcPr>
            <w:tcW w:w="20" w:type="dxa"/>
            <w:vAlign w:val="bottom"/>
            <w:tcBorders>
              <w:bottom w:val="single" w:sz="8" w:color="494949"/>
            </w:tcBorders>
          </w:tcPr>
          <w:p>
            <w:pPr>
              <w:spacing w:after="0"/>
              <w:rPr>
                <w:sz w:val="12"/>
                <w:szCs w:val="12"/>
                <w:color w:val="auto"/>
              </w:rPr>
            </w:pPr>
          </w:p>
        </w:tc>
        <w:tc>
          <w:tcPr>
            <w:tcW w:w="40" w:type="dxa"/>
            <w:vAlign w:val="bottom"/>
            <w:tcBorders>
              <w:bottom w:val="single" w:sz="8" w:color="494949"/>
            </w:tcBorders>
          </w:tcPr>
          <w:p>
            <w:pPr>
              <w:spacing w:after="0"/>
              <w:rPr>
                <w:sz w:val="12"/>
                <w:szCs w:val="12"/>
                <w:color w:val="auto"/>
              </w:rPr>
            </w:pPr>
          </w:p>
        </w:tc>
        <w:tc>
          <w:tcPr>
            <w:tcW w:w="480" w:type="dxa"/>
            <w:vAlign w:val="bottom"/>
            <w:tcBorders>
              <w:bottom w:val="single" w:sz="8" w:color="494949"/>
              <w:right w:val="single" w:sz="8" w:color="494949"/>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20" w:type="dxa"/>
            <w:vAlign w:val="bottom"/>
            <w:tcBorders>
              <w:left w:val="single" w:sz="8" w:color="auto"/>
              <w:right w:val="single" w:sz="8" w:color="auto"/>
            </w:tcBorders>
            <w:shd w:val="clear" w:color="auto" w:fill="DBDBDB"/>
          </w:tcPr>
          <w:p>
            <w:pPr>
              <w:ind w:left="20"/>
              <w:spacing w:after="0" w:line="121" w:lineRule="exact"/>
              <w:rPr>
                <w:sz w:val="20"/>
                <w:szCs w:val="20"/>
                <w:color w:val="auto"/>
              </w:rPr>
            </w:pPr>
            <w:r>
              <w:rPr>
                <w:rFonts w:ascii="Arial" w:cs="Arial" w:eastAsia="Arial" w:hAnsi="Arial"/>
                <w:sz w:val="11"/>
                <w:szCs w:val="11"/>
                <w:color w:val="auto"/>
              </w:rPr>
              <w:t>We evaluate share utilization by annually reviewing overhang and burn rates.</w:t>
            </w:r>
          </w:p>
        </w:tc>
        <w:tc>
          <w:tcPr>
            <w:tcW w:w="480" w:type="dxa"/>
            <w:vAlign w:val="bottom"/>
            <w:shd w:val="clear" w:color="auto" w:fill="DBDBDB"/>
          </w:tcPr>
          <w:p>
            <w:pPr>
              <w:spacing w:after="0"/>
              <w:rPr>
                <w:sz w:val="12"/>
                <w:szCs w:val="12"/>
                <w:color w:val="auto"/>
              </w:rPr>
            </w:pPr>
          </w:p>
        </w:tc>
        <w:tc>
          <w:tcPr>
            <w:tcW w:w="120" w:type="dxa"/>
            <w:vAlign w:val="bottom"/>
            <w:shd w:val="clear" w:color="auto" w:fill="DBDBDB"/>
          </w:tcPr>
          <w:p>
            <w:pPr>
              <w:jc w:val="center"/>
              <w:spacing w:after="0" w:line="121" w:lineRule="exact"/>
              <w:rPr>
                <w:sz w:val="20"/>
                <w:szCs w:val="20"/>
                <w:color w:val="auto"/>
              </w:rPr>
            </w:pPr>
            <w:r>
              <w:rPr>
                <w:rFonts w:ascii="Arial" w:cs="Arial" w:eastAsia="Arial" w:hAnsi="Arial"/>
                <w:sz w:val="11"/>
                <w:szCs w:val="11"/>
                <w:color w:val="05445E"/>
                <w:w w:val="97"/>
              </w:rPr>
              <w:t>41</w:t>
            </w:r>
          </w:p>
        </w:tc>
        <w:tc>
          <w:tcPr>
            <w:tcW w:w="540" w:type="dxa"/>
            <w:vAlign w:val="bottom"/>
            <w:tcBorders>
              <w:right w:val="single" w:sz="8" w:color="494949"/>
            </w:tcBorders>
            <w:shd w:val="clear" w:color="auto" w:fill="DBDBDB"/>
          </w:tcPr>
          <w:p>
            <w:pPr>
              <w:spacing w:after="0"/>
              <w:rPr>
                <w:sz w:val="12"/>
                <w:szCs w:val="12"/>
                <w:color w:val="auto"/>
              </w:rPr>
            </w:pPr>
          </w:p>
        </w:tc>
        <w:tc>
          <w:tcPr>
            <w:tcW w:w="4400" w:type="dxa"/>
            <w:vAlign w:val="bottom"/>
            <w:tcBorders>
              <w:right w:val="single" w:sz="8" w:color="auto"/>
            </w:tcBorders>
            <w:shd w:val="clear" w:color="auto" w:fill="DBDBDB"/>
          </w:tcPr>
          <w:p>
            <w:pPr>
              <w:spacing w:after="0" w:line="121" w:lineRule="exact"/>
              <w:rPr>
                <w:sz w:val="20"/>
                <w:szCs w:val="20"/>
                <w:color w:val="auto"/>
              </w:rPr>
            </w:pPr>
            <w:r>
              <w:rPr>
                <w:rFonts w:ascii="Arial" w:cs="Arial" w:eastAsia="Arial" w:hAnsi="Arial"/>
                <w:sz w:val="11"/>
                <w:szCs w:val="11"/>
                <w:color w:val="auto"/>
              </w:rPr>
              <w:t>We do not provide tax reimbursement or tax “gross-ups” on any perquisites.</w:t>
            </w:r>
          </w:p>
        </w:tc>
        <w:tc>
          <w:tcPr>
            <w:tcW w:w="620" w:type="dxa"/>
            <w:vAlign w:val="bottom"/>
            <w:gridSpan w:val="5"/>
            <w:shd w:val="clear" w:color="auto" w:fill="DBDBDB"/>
          </w:tcPr>
          <w:p>
            <w:pPr>
              <w:jc w:val="center"/>
              <w:ind w:left="446"/>
              <w:spacing w:after="0" w:line="121" w:lineRule="exact"/>
              <w:rPr>
                <w:sz w:val="20"/>
                <w:szCs w:val="20"/>
                <w:color w:val="auto"/>
              </w:rPr>
            </w:pPr>
            <w:r>
              <w:rPr>
                <w:rFonts w:ascii="Arial" w:cs="Arial" w:eastAsia="Arial" w:hAnsi="Arial"/>
                <w:sz w:val="11"/>
                <w:szCs w:val="11"/>
                <w:color w:val="05445E"/>
                <w:w w:val="97"/>
              </w:rPr>
              <w:t>50</w:t>
            </w:r>
          </w:p>
        </w:tc>
        <w:tc>
          <w:tcPr>
            <w:tcW w:w="40" w:type="dxa"/>
            <w:vAlign w:val="bottom"/>
            <w:shd w:val="clear" w:color="auto" w:fill="DBDBDB"/>
          </w:tcPr>
          <w:p>
            <w:pPr>
              <w:spacing w:after="0"/>
              <w:rPr>
                <w:sz w:val="12"/>
                <w:szCs w:val="12"/>
                <w:color w:val="auto"/>
              </w:rPr>
            </w:pPr>
          </w:p>
        </w:tc>
        <w:tc>
          <w:tcPr>
            <w:tcW w:w="480" w:type="dxa"/>
            <w:vAlign w:val="bottom"/>
            <w:tcBorders>
              <w:right w:val="single" w:sz="8" w:color="494949"/>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DBDBDB"/>
              <w:left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DBDBDB"/>
            </w:tcBorders>
            <w:shd w:val="clear" w:color="auto" w:fill="494949"/>
          </w:tcPr>
          <w:p>
            <w:pPr>
              <w:spacing w:after="0" w:line="20" w:lineRule="exact"/>
              <w:rPr>
                <w:sz w:val="1"/>
                <w:szCs w:val="1"/>
                <w:color w:val="auto"/>
              </w:rPr>
            </w:pPr>
          </w:p>
        </w:tc>
        <w:tc>
          <w:tcPr>
            <w:tcW w:w="120" w:type="dxa"/>
            <w:vAlign w:val="bottom"/>
            <w:tcBorders>
              <w:top w:val="single" w:sz="8" w:color="05445E"/>
            </w:tcBorders>
            <w:shd w:val="clear" w:color="auto" w:fill="494949"/>
          </w:tcPr>
          <w:p>
            <w:pPr>
              <w:spacing w:after="0" w:line="20" w:lineRule="exact"/>
              <w:rPr>
                <w:sz w:val="1"/>
                <w:szCs w:val="1"/>
                <w:color w:val="auto"/>
              </w:rPr>
            </w:pPr>
          </w:p>
        </w:tc>
        <w:tc>
          <w:tcPr>
            <w:tcW w:w="540" w:type="dxa"/>
            <w:vAlign w:val="bottom"/>
            <w:tcBorders>
              <w:top w:val="single" w:sz="8" w:color="DBDBDB"/>
              <w:right w:val="single" w:sz="8" w:color="494949"/>
            </w:tcBorders>
            <w:shd w:val="clear" w:color="auto" w:fill="494949"/>
          </w:tcPr>
          <w:p>
            <w:pPr>
              <w:spacing w:after="0" w:line="20" w:lineRule="exact"/>
              <w:rPr>
                <w:sz w:val="1"/>
                <w:szCs w:val="1"/>
                <w:color w:val="auto"/>
              </w:rPr>
            </w:pPr>
          </w:p>
        </w:tc>
        <w:tc>
          <w:tcPr>
            <w:tcW w:w="4400" w:type="dxa"/>
            <w:vAlign w:val="bottom"/>
            <w:tcBorders>
              <w:top w:val="single" w:sz="8" w:color="DBDBDB"/>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DBDBDB"/>
            </w:tcBorders>
            <w:shd w:val="clear" w:color="auto" w:fill="494949"/>
          </w:tcPr>
          <w:p>
            <w:pPr>
              <w:spacing w:after="0" w:line="20" w:lineRule="exact"/>
              <w:rPr>
                <w:sz w:val="1"/>
                <w:szCs w:val="1"/>
                <w:color w:val="auto"/>
              </w:rPr>
            </w:pPr>
          </w:p>
        </w:tc>
        <w:tc>
          <w:tcPr>
            <w:tcW w:w="60" w:type="dxa"/>
            <w:vAlign w:val="bottom"/>
            <w:tcBorders>
              <w:top w:val="single" w:sz="8" w:color="DBDBDB"/>
            </w:tcBorders>
            <w:shd w:val="clear" w:color="auto" w:fill="494949"/>
          </w:tcPr>
          <w:p>
            <w:pPr>
              <w:spacing w:after="0" w:line="20" w:lineRule="exact"/>
              <w:rPr>
                <w:sz w:val="1"/>
                <w:szCs w:val="1"/>
                <w:color w:val="auto"/>
              </w:rPr>
            </w:pPr>
          </w:p>
        </w:tc>
        <w:tc>
          <w:tcPr>
            <w:tcW w:w="20" w:type="dxa"/>
            <w:vAlign w:val="bottom"/>
            <w:tcBorders>
              <w:top w:val="single" w:sz="8" w:color="05445E"/>
            </w:tcBorders>
            <w:shd w:val="clear" w:color="auto" w:fill="494949"/>
          </w:tcPr>
          <w:p>
            <w:pPr>
              <w:spacing w:after="0" w:line="20" w:lineRule="exact"/>
              <w:rPr>
                <w:sz w:val="1"/>
                <w:szCs w:val="1"/>
                <w:color w:val="auto"/>
              </w:rPr>
            </w:pPr>
          </w:p>
        </w:tc>
        <w:tc>
          <w:tcPr>
            <w:tcW w:w="80" w:type="dxa"/>
            <w:vAlign w:val="bottom"/>
            <w:tcBorders>
              <w:top w:val="single" w:sz="8" w:color="05445E"/>
            </w:tcBorders>
            <w:shd w:val="clear" w:color="auto" w:fill="494949"/>
          </w:tcPr>
          <w:p>
            <w:pPr>
              <w:spacing w:after="0" w:line="20" w:lineRule="exact"/>
              <w:rPr>
                <w:sz w:val="1"/>
                <w:szCs w:val="1"/>
                <w:color w:val="auto"/>
              </w:rPr>
            </w:pPr>
          </w:p>
        </w:tc>
        <w:tc>
          <w:tcPr>
            <w:tcW w:w="20" w:type="dxa"/>
            <w:vAlign w:val="bottom"/>
            <w:tcBorders>
              <w:top w:val="single" w:sz="8" w:color="05445E"/>
            </w:tcBorders>
            <w:shd w:val="clear" w:color="auto" w:fill="494949"/>
          </w:tcPr>
          <w:p>
            <w:pPr>
              <w:spacing w:after="0" w:line="20" w:lineRule="exact"/>
              <w:rPr>
                <w:sz w:val="1"/>
                <w:szCs w:val="1"/>
                <w:color w:val="auto"/>
              </w:rPr>
            </w:pPr>
          </w:p>
        </w:tc>
        <w:tc>
          <w:tcPr>
            <w:tcW w:w="40" w:type="dxa"/>
            <w:vAlign w:val="bottom"/>
            <w:tcBorders>
              <w:top w:val="single" w:sz="8" w:color="DBDBDB"/>
            </w:tcBorders>
            <w:shd w:val="clear" w:color="auto" w:fill="494949"/>
          </w:tcPr>
          <w:p>
            <w:pPr>
              <w:spacing w:after="0" w:line="20" w:lineRule="exact"/>
              <w:rPr>
                <w:sz w:val="1"/>
                <w:szCs w:val="1"/>
                <w:color w:val="auto"/>
              </w:rPr>
            </w:pPr>
          </w:p>
        </w:tc>
        <w:tc>
          <w:tcPr>
            <w:tcW w:w="480" w:type="dxa"/>
            <w:vAlign w:val="bottom"/>
            <w:tcBorders>
              <w:top w:val="single" w:sz="8" w:color="DBDBDB"/>
              <w:right w:val="single" w:sz="8" w:color="494949"/>
            </w:tcBorders>
            <w:shd w:val="clear" w:color="auto" w:fill="4949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420" w:type="dxa"/>
            <w:vAlign w:val="bottom"/>
            <w:tcBorders>
              <w:left w:val="single" w:sz="8" w:color="auto"/>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We have adopted share ownership guidelines, and we review compliance annually.</w:t>
            </w:r>
          </w:p>
        </w:tc>
        <w:tc>
          <w:tcPr>
            <w:tcW w:w="480" w:type="dxa"/>
            <w:vAlign w:val="bottom"/>
          </w:tcPr>
          <w:p>
            <w:pPr>
              <w:spacing w:after="0"/>
              <w:rPr>
                <w:sz w:val="9"/>
                <w:szCs w:val="9"/>
                <w:color w:val="auto"/>
              </w:rPr>
            </w:pPr>
          </w:p>
        </w:tc>
        <w:tc>
          <w:tcPr>
            <w:tcW w:w="120" w:type="dxa"/>
            <w:vAlign w:val="bottom"/>
          </w:tcPr>
          <w:p>
            <w:pPr>
              <w:jc w:val="center"/>
              <w:spacing w:after="0" w:line="111" w:lineRule="exact"/>
              <w:rPr>
                <w:sz w:val="20"/>
                <w:szCs w:val="20"/>
                <w:color w:val="auto"/>
              </w:rPr>
            </w:pPr>
            <w:r>
              <w:rPr>
                <w:rFonts w:ascii="Arial" w:cs="Arial" w:eastAsia="Arial" w:hAnsi="Arial"/>
                <w:sz w:val="11"/>
                <w:szCs w:val="11"/>
                <w:color w:val="05445E"/>
                <w:w w:val="97"/>
              </w:rPr>
              <w:t>51</w:t>
            </w:r>
          </w:p>
        </w:tc>
        <w:tc>
          <w:tcPr>
            <w:tcW w:w="540" w:type="dxa"/>
            <w:vAlign w:val="bottom"/>
            <w:tcBorders>
              <w:right w:val="single" w:sz="8" w:color="494949"/>
            </w:tcBorders>
          </w:tcPr>
          <w:p>
            <w:pPr>
              <w:spacing w:after="0"/>
              <w:rPr>
                <w:sz w:val="9"/>
                <w:szCs w:val="9"/>
                <w:color w:val="auto"/>
              </w:rPr>
            </w:pPr>
          </w:p>
        </w:tc>
        <w:tc>
          <w:tcPr>
            <w:tcW w:w="44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We do not allow hedging or pledging of company shares.</w:t>
            </w:r>
          </w:p>
        </w:tc>
        <w:tc>
          <w:tcPr>
            <w:tcW w:w="620" w:type="dxa"/>
            <w:vAlign w:val="bottom"/>
            <w:gridSpan w:val="5"/>
          </w:tcPr>
          <w:p>
            <w:pPr>
              <w:jc w:val="center"/>
              <w:ind w:left="446"/>
              <w:spacing w:after="0" w:line="111" w:lineRule="exact"/>
              <w:rPr>
                <w:sz w:val="20"/>
                <w:szCs w:val="20"/>
                <w:color w:val="auto"/>
              </w:rPr>
            </w:pPr>
            <w:r>
              <w:rPr>
                <w:rFonts w:ascii="Arial" w:cs="Arial" w:eastAsia="Arial" w:hAnsi="Arial"/>
                <w:sz w:val="11"/>
                <w:szCs w:val="11"/>
                <w:color w:val="05445E"/>
                <w:w w:val="97"/>
              </w:rPr>
              <w:t>51</w:t>
            </w:r>
          </w:p>
        </w:tc>
        <w:tc>
          <w:tcPr>
            <w:tcW w:w="40" w:type="dxa"/>
            <w:vAlign w:val="bottom"/>
          </w:tcPr>
          <w:p>
            <w:pPr>
              <w:spacing w:after="0"/>
              <w:rPr>
                <w:sz w:val="9"/>
                <w:szCs w:val="9"/>
                <w:color w:val="auto"/>
              </w:rPr>
            </w:pPr>
          </w:p>
        </w:tc>
        <w:tc>
          <w:tcPr>
            <w:tcW w:w="480" w:type="dxa"/>
            <w:vAlign w:val="bottom"/>
            <w:tcBorders>
              <w:right w:val="single" w:sz="8" w:color="494949"/>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494949"/>
            </w:tcBorders>
          </w:tcPr>
          <w:p>
            <w:pPr>
              <w:spacing w:after="0" w:line="20" w:lineRule="exact"/>
              <w:rPr>
                <w:sz w:val="1"/>
                <w:szCs w:val="1"/>
                <w:color w:val="auto"/>
              </w:rPr>
            </w:pPr>
          </w:p>
        </w:tc>
        <w:tc>
          <w:tcPr>
            <w:tcW w:w="120" w:type="dxa"/>
            <w:vAlign w:val="bottom"/>
            <w:tcBorders>
              <w:top w:val="single" w:sz="8" w:color="05445E"/>
              <w:bottom w:val="single" w:sz="8" w:color="494949"/>
            </w:tcBorders>
          </w:tcPr>
          <w:p>
            <w:pPr>
              <w:spacing w:after="0" w:line="20" w:lineRule="exact"/>
              <w:rPr>
                <w:sz w:val="1"/>
                <w:szCs w:val="1"/>
                <w:color w:val="auto"/>
              </w:rPr>
            </w:pPr>
          </w:p>
        </w:tc>
        <w:tc>
          <w:tcPr>
            <w:tcW w:w="540" w:type="dxa"/>
            <w:vAlign w:val="bottom"/>
            <w:tcBorders>
              <w:bottom w:val="single" w:sz="8" w:color="494949"/>
              <w:right w:val="single" w:sz="8" w:color="494949"/>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60" w:type="dxa"/>
            <w:vAlign w:val="bottom"/>
            <w:tcBorders>
              <w:bottom w:val="single" w:sz="8" w:color="494949"/>
            </w:tcBorders>
          </w:tcPr>
          <w:p>
            <w:pPr>
              <w:spacing w:after="0" w:line="20" w:lineRule="exact"/>
              <w:rPr>
                <w:sz w:val="1"/>
                <w:szCs w:val="1"/>
                <w:color w:val="auto"/>
              </w:rPr>
            </w:pPr>
          </w:p>
        </w:tc>
        <w:tc>
          <w:tcPr>
            <w:tcW w:w="20" w:type="dxa"/>
            <w:vAlign w:val="bottom"/>
            <w:tcBorders>
              <w:top w:val="single" w:sz="8" w:color="05445E"/>
              <w:bottom w:val="single" w:sz="8" w:color="494949"/>
            </w:tcBorders>
          </w:tcPr>
          <w:p>
            <w:pPr>
              <w:spacing w:after="0" w:line="20" w:lineRule="exact"/>
              <w:rPr>
                <w:sz w:val="1"/>
                <w:szCs w:val="1"/>
                <w:color w:val="auto"/>
              </w:rPr>
            </w:pPr>
          </w:p>
        </w:tc>
        <w:tc>
          <w:tcPr>
            <w:tcW w:w="80" w:type="dxa"/>
            <w:vAlign w:val="bottom"/>
            <w:tcBorders>
              <w:top w:val="single" w:sz="8" w:color="05445E"/>
              <w:bottom w:val="single" w:sz="8" w:color="494949"/>
            </w:tcBorders>
          </w:tcPr>
          <w:p>
            <w:pPr>
              <w:spacing w:after="0" w:line="20" w:lineRule="exact"/>
              <w:rPr>
                <w:sz w:val="1"/>
                <w:szCs w:val="1"/>
                <w:color w:val="auto"/>
              </w:rPr>
            </w:pPr>
          </w:p>
        </w:tc>
        <w:tc>
          <w:tcPr>
            <w:tcW w:w="20" w:type="dxa"/>
            <w:vAlign w:val="bottom"/>
            <w:tcBorders>
              <w:top w:val="single" w:sz="8" w:color="05445E"/>
              <w:bottom w:val="single" w:sz="8" w:color="494949"/>
            </w:tcBorders>
          </w:tcPr>
          <w:p>
            <w:pPr>
              <w:spacing w:after="0" w:line="20" w:lineRule="exact"/>
              <w:rPr>
                <w:sz w:val="1"/>
                <w:szCs w:val="1"/>
                <w:color w:val="auto"/>
              </w:rPr>
            </w:pPr>
          </w:p>
        </w:tc>
        <w:tc>
          <w:tcPr>
            <w:tcW w:w="40" w:type="dxa"/>
            <w:vAlign w:val="bottom"/>
            <w:tcBorders>
              <w:bottom w:val="single" w:sz="8" w:color="494949"/>
            </w:tcBorders>
          </w:tcPr>
          <w:p>
            <w:pPr>
              <w:spacing w:after="0" w:line="20" w:lineRule="exact"/>
              <w:rPr>
                <w:sz w:val="1"/>
                <w:szCs w:val="1"/>
                <w:color w:val="auto"/>
              </w:rPr>
            </w:pPr>
          </w:p>
        </w:tc>
        <w:tc>
          <w:tcPr>
            <w:tcW w:w="480" w:type="dxa"/>
            <w:vAlign w:val="bottom"/>
            <w:tcBorders>
              <w:bottom w:val="single" w:sz="8" w:color="494949"/>
              <w:right w:val="single" w:sz="8" w:color="4949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420" w:type="dxa"/>
            <w:vAlign w:val="bottom"/>
            <w:tcBorders>
              <w:left w:val="single" w:sz="8" w:color="auto"/>
              <w:right w:val="single" w:sz="8" w:color="auto"/>
            </w:tcBorders>
            <w:shd w:val="clear" w:color="auto" w:fill="DBDBDB"/>
          </w:tcPr>
          <w:p>
            <w:pPr>
              <w:ind w:left="20"/>
              <w:spacing w:after="0" w:line="111" w:lineRule="exact"/>
              <w:rPr>
                <w:sz w:val="20"/>
                <w:szCs w:val="20"/>
                <w:color w:val="auto"/>
              </w:rPr>
            </w:pPr>
            <w:r>
              <w:rPr>
                <w:rFonts w:ascii="Arial" w:cs="Arial" w:eastAsia="Arial" w:hAnsi="Arial"/>
                <w:sz w:val="11"/>
                <w:szCs w:val="11"/>
                <w:color w:val="auto"/>
              </w:rPr>
              <w:t>We have clawback policies that comply with Nasdaq listing standards and go beyond that</w:t>
            </w:r>
          </w:p>
        </w:tc>
        <w:tc>
          <w:tcPr>
            <w:tcW w:w="600" w:type="dxa"/>
            <w:vAlign w:val="bottom"/>
            <w:gridSpan w:val="2"/>
            <w:shd w:val="clear" w:color="auto" w:fill="DBDBDB"/>
          </w:tcPr>
          <w:p>
            <w:pPr>
              <w:jc w:val="center"/>
              <w:ind w:left="426"/>
              <w:spacing w:after="0" w:line="111" w:lineRule="exact"/>
              <w:rPr>
                <w:sz w:val="20"/>
                <w:szCs w:val="20"/>
                <w:color w:val="auto"/>
              </w:rPr>
            </w:pPr>
            <w:r>
              <w:rPr>
                <w:rFonts w:ascii="Arial" w:cs="Arial" w:eastAsia="Arial" w:hAnsi="Arial"/>
                <w:sz w:val="11"/>
                <w:szCs w:val="11"/>
                <w:color w:val="05445E"/>
                <w:w w:val="97"/>
              </w:rPr>
              <w:t>51</w:t>
            </w:r>
          </w:p>
        </w:tc>
        <w:tc>
          <w:tcPr>
            <w:tcW w:w="540" w:type="dxa"/>
            <w:vAlign w:val="bottom"/>
            <w:tcBorders>
              <w:right w:val="single" w:sz="8" w:color="494949"/>
            </w:tcBorders>
            <w:shd w:val="clear" w:color="auto" w:fill="DBDBDB"/>
          </w:tcPr>
          <w:p>
            <w:pPr>
              <w:spacing w:after="0"/>
              <w:rPr>
                <w:sz w:val="9"/>
                <w:szCs w:val="9"/>
                <w:color w:val="auto"/>
              </w:rPr>
            </w:pPr>
          </w:p>
        </w:tc>
        <w:tc>
          <w:tcPr>
            <w:tcW w:w="4400" w:type="dxa"/>
            <w:vAlign w:val="bottom"/>
            <w:tcBorders>
              <w:right w:val="single" w:sz="8" w:color="auto"/>
            </w:tcBorders>
            <w:shd w:val="clear" w:color="auto" w:fill="DBDBDB"/>
          </w:tcPr>
          <w:p>
            <w:pPr>
              <w:spacing w:after="0" w:line="111" w:lineRule="exact"/>
              <w:rPr>
                <w:sz w:val="20"/>
                <w:szCs w:val="20"/>
                <w:color w:val="auto"/>
              </w:rPr>
            </w:pPr>
            <w:r>
              <w:rPr>
                <w:rFonts w:ascii="Arial" w:cs="Arial" w:eastAsia="Arial" w:hAnsi="Arial"/>
                <w:sz w:val="11"/>
                <w:szCs w:val="11"/>
                <w:color w:val="auto"/>
              </w:rPr>
              <w:t>We do not believe any of our Company’s compensation programs create risks that are</w:t>
            </w:r>
          </w:p>
        </w:tc>
        <w:tc>
          <w:tcPr>
            <w:tcW w:w="620" w:type="dxa"/>
            <w:vAlign w:val="bottom"/>
            <w:gridSpan w:val="5"/>
            <w:shd w:val="clear" w:color="auto" w:fill="DBDBDB"/>
          </w:tcPr>
          <w:p>
            <w:pPr>
              <w:jc w:val="center"/>
              <w:ind w:left="446"/>
              <w:spacing w:after="0" w:line="111" w:lineRule="exact"/>
              <w:rPr>
                <w:sz w:val="20"/>
                <w:szCs w:val="20"/>
                <w:color w:val="auto"/>
              </w:rPr>
            </w:pPr>
            <w:r>
              <w:rPr>
                <w:rFonts w:ascii="Arial" w:cs="Arial" w:eastAsia="Arial" w:hAnsi="Arial"/>
                <w:sz w:val="11"/>
                <w:szCs w:val="11"/>
                <w:color w:val="05445E"/>
                <w:w w:val="97"/>
              </w:rPr>
              <w:t>52</w:t>
            </w:r>
          </w:p>
        </w:tc>
        <w:tc>
          <w:tcPr>
            <w:tcW w:w="40" w:type="dxa"/>
            <w:vAlign w:val="bottom"/>
            <w:shd w:val="clear" w:color="auto" w:fill="DBDBDB"/>
          </w:tcPr>
          <w:p>
            <w:pPr>
              <w:spacing w:after="0"/>
              <w:rPr>
                <w:sz w:val="9"/>
                <w:szCs w:val="9"/>
                <w:color w:val="auto"/>
              </w:rPr>
            </w:pPr>
          </w:p>
        </w:tc>
        <w:tc>
          <w:tcPr>
            <w:tcW w:w="480" w:type="dxa"/>
            <w:vAlign w:val="bottom"/>
            <w:tcBorders>
              <w:right w:val="single" w:sz="8" w:color="494949"/>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420" w:type="dxa"/>
            <w:vAlign w:val="bottom"/>
            <w:tcBorders>
              <w:top w:val="single" w:sz="8" w:color="DBDBDB"/>
              <w:left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 cover a broader population of participants in our executive compensation program.</w:t>
            </w:r>
          </w:p>
        </w:tc>
        <w:tc>
          <w:tcPr>
            <w:tcW w:w="480" w:type="dxa"/>
            <w:vAlign w:val="bottom"/>
            <w:tcBorders>
              <w:top w:val="single" w:sz="8" w:color="DBDBDB"/>
              <w:bottom w:val="single" w:sz="8" w:color="494949"/>
            </w:tcBorders>
            <w:shd w:val="clear" w:color="auto" w:fill="DBDBDB"/>
          </w:tcPr>
          <w:p>
            <w:pPr>
              <w:spacing w:after="0"/>
              <w:rPr>
                <w:sz w:val="12"/>
                <w:szCs w:val="12"/>
                <w:color w:val="auto"/>
              </w:rPr>
            </w:pPr>
          </w:p>
        </w:tc>
        <w:tc>
          <w:tcPr>
            <w:tcW w:w="120" w:type="dxa"/>
            <w:vAlign w:val="bottom"/>
            <w:tcBorders>
              <w:top w:val="single" w:sz="8" w:color="05445E"/>
              <w:bottom w:val="single" w:sz="8" w:color="494949"/>
            </w:tcBorders>
            <w:shd w:val="clear" w:color="auto" w:fill="DBDBDB"/>
          </w:tcPr>
          <w:p>
            <w:pPr>
              <w:spacing w:after="0"/>
              <w:rPr>
                <w:sz w:val="12"/>
                <w:szCs w:val="12"/>
                <w:color w:val="auto"/>
              </w:rPr>
            </w:pPr>
          </w:p>
        </w:tc>
        <w:tc>
          <w:tcPr>
            <w:tcW w:w="540" w:type="dxa"/>
            <w:vAlign w:val="bottom"/>
            <w:tcBorders>
              <w:top w:val="single" w:sz="8" w:color="DBDBDB"/>
              <w:bottom w:val="single" w:sz="8" w:color="494949"/>
              <w:right w:val="single" w:sz="8" w:color="494949"/>
            </w:tcBorders>
            <w:shd w:val="clear" w:color="auto" w:fill="DBDBDB"/>
          </w:tcPr>
          <w:p>
            <w:pPr>
              <w:spacing w:after="0"/>
              <w:rPr>
                <w:sz w:val="12"/>
                <w:szCs w:val="12"/>
                <w:color w:val="auto"/>
              </w:rPr>
            </w:pPr>
          </w:p>
        </w:tc>
        <w:tc>
          <w:tcPr>
            <w:tcW w:w="4400" w:type="dxa"/>
            <w:vAlign w:val="bottom"/>
            <w:tcBorders>
              <w:top w:val="single" w:sz="8" w:color="DBDBDB"/>
              <w:bottom w:val="single" w:sz="8" w:color="auto"/>
              <w:right w:val="single" w:sz="8" w:color="auto"/>
            </w:tcBorders>
            <w:shd w:val="clear" w:color="auto" w:fill="DBDBDB"/>
          </w:tcPr>
          <w:p>
            <w:pPr>
              <w:spacing w:after="0"/>
              <w:rPr>
                <w:sz w:val="20"/>
                <w:szCs w:val="20"/>
                <w:color w:val="auto"/>
              </w:rPr>
            </w:pPr>
            <w:r>
              <w:rPr>
                <w:rFonts w:ascii="Arial" w:cs="Arial" w:eastAsia="Arial" w:hAnsi="Arial"/>
                <w:sz w:val="11"/>
                <w:szCs w:val="11"/>
                <w:color w:val="auto"/>
              </w:rPr>
              <w:t>reasonably likely to have a material adverse effect on our Company.</w:t>
            </w:r>
          </w:p>
        </w:tc>
        <w:tc>
          <w:tcPr>
            <w:tcW w:w="440" w:type="dxa"/>
            <w:vAlign w:val="bottom"/>
            <w:tcBorders>
              <w:top w:val="single" w:sz="8" w:color="DBDBDB"/>
              <w:bottom w:val="single" w:sz="8" w:color="494949"/>
            </w:tcBorders>
            <w:shd w:val="clear" w:color="auto" w:fill="DBDBDB"/>
          </w:tcPr>
          <w:p>
            <w:pPr>
              <w:spacing w:after="0"/>
              <w:rPr>
                <w:sz w:val="12"/>
                <w:szCs w:val="12"/>
                <w:color w:val="auto"/>
              </w:rPr>
            </w:pPr>
          </w:p>
        </w:tc>
        <w:tc>
          <w:tcPr>
            <w:tcW w:w="60" w:type="dxa"/>
            <w:vAlign w:val="bottom"/>
            <w:tcBorders>
              <w:top w:val="single" w:sz="8" w:color="DBDBDB"/>
              <w:bottom w:val="single" w:sz="8" w:color="494949"/>
            </w:tcBorders>
            <w:shd w:val="clear" w:color="auto" w:fill="DBDBDB"/>
          </w:tcPr>
          <w:p>
            <w:pPr>
              <w:spacing w:after="0"/>
              <w:rPr>
                <w:sz w:val="12"/>
                <w:szCs w:val="12"/>
                <w:color w:val="auto"/>
              </w:rPr>
            </w:pPr>
          </w:p>
        </w:tc>
        <w:tc>
          <w:tcPr>
            <w:tcW w:w="20" w:type="dxa"/>
            <w:vAlign w:val="bottom"/>
            <w:tcBorders>
              <w:top w:val="single" w:sz="8" w:color="05445E"/>
              <w:bottom w:val="single" w:sz="8" w:color="494949"/>
            </w:tcBorders>
            <w:shd w:val="clear" w:color="auto" w:fill="DBDBDB"/>
          </w:tcPr>
          <w:p>
            <w:pPr>
              <w:spacing w:after="0"/>
              <w:rPr>
                <w:sz w:val="12"/>
                <w:szCs w:val="12"/>
                <w:color w:val="auto"/>
              </w:rPr>
            </w:pPr>
          </w:p>
        </w:tc>
        <w:tc>
          <w:tcPr>
            <w:tcW w:w="80" w:type="dxa"/>
            <w:vAlign w:val="bottom"/>
            <w:tcBorders>
              <w:top w:val="single" w:sz="8" w:color="05445E"/>
              <w:bottom w:val="single" w:sz="8" w:color="494949"/>
            </w:tcBorders>
            <w:shd w:val="clear" w:color="auto" w:fill="DBDBDB"/>
          </w:tcPr>
          <w:p>
            <w:pPr>
              <w:spacing w:after="0"/>
              <w:rPr>
                <w:sz w:val="12"/>
                <w:szCs w:val="12"/>
                <w:color w:val="auto"/>
              </w:rPr>
            </w:pPr>
          </w:p>
        </w:tc>
        <w:tc>
          <w:tcPr>
            <w:tcW w:w="20" w:type="dxa"/>
            <w:vAlign w:val="bottom"/>
            <w:tcBorders>
              <w:top w:val="single" w:sz="8" w:color="05445E"/>
              <w:bottom w:val="single" w:sz="8" w:color="494949"/>
            </w:tcBorders>
            <w:shd w:val="clear" w:color="auto" w:fill="DBDBDB"/>
          </w:tcPr>
          <w:p>
            <w:pPr>
              <w:spacing w:after="0"/>
              <w:rPr>
                <w:sz w:val="12"/>
                <w:szCs w:val="12"/>
                <w:color w:val="auto"/>
              </w:rPr>
            </w:pPr>
          </w:p>
        </w:tc>
        <w:tc>
          <w:tcPr>
            <w:tcW w:w="40" w:type="dxa"/>
            <w:vAlign w:val="bottom"/>
            <w:tcBorders>
              <w:top w:val="single" w:sz="8" w:color="DBDBDB"/>
              <w:bottom w:val="single" w:sz="8" w:color="494949"/>
            </w:tcBorders>
            <w:shd w:val="clear" w:color="auto" w:fill="DBDBDB"/>
          </w:tcPr>
          <w:p>
            <w:pPr>
              <w:spacing w:after="0"/>
              <w:rPr>
                <w:sz w:val="12"/>
                <w:szCs w:val="12"/>
                <w:color w:val="auto"/>
              </w:rPr>
            </w:pPr>
          </w:p>
        </w:tc>
        <w:tc>
          <w:tcPr>
            <w:tcW w:w="480" w:type="dxa"/>
            <w:vAlign w:val="bottom"/>
            <w:tcBorders>
              <w:top w:val="single" w:sz="8" w:color="DBDBDB"/>
              <w:bottom w:val="single" w:sz="8" w:color="494949"/>
              <w:right w:val="single" w:sz="8" w:color="494949"/>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We mitigate undue compensation risk by utilizing caps on potential payments, multiple</w:t>
            </w:r>
          </w:p>
        </w:tc>
        <w:tc>
          <w:tcPr>
            <w:tcW w:w="600" w:type="dxa"/>
            <w:vAlign w:val="bottom"/>
            <w:gridSpan w:val="2"/>
          </w:tcPr>
          <w:p>
            <w:pPr>
              <w:jc w:val="center"/>
              <w:ind w:left="426"/>
              <w:spacing w:after="0"/>
              <w:rPr>
                <w:sz w:val="20"/>
                <w:szCs w:val="20"/>
                <w:color w:val="auto"/>
              </w:rPr>
            </w:pPr>
            <w:r>
              <w:rPr>
                <w:rFonts w:ascii="Arial" w:cs="Arial" w:eastAsia="Arial" w:hAnsi="Arial"/>
                <w:sz w:val="11"/>
                <w:szCs w:val="11"/>
                <w:color w:val="05445E"/>
                <w:w w:val="97"/>
              </w:rPr>
              <w:t>52</w:t>
            </w:r>
          </w:p>
        </w:tc>
        <w:tc>
          <w:tcPr>
            <w:tcW w:w="540" w:type="dxa"/>
            <w:vAlign w:val="bottom"/>
            <w:tcBorders>
              <w:right w:val="single" w:sz="8" w:color="494949"/>
            </w:tcBorders>
          </w:tcPr>
          <w:p>
            <w:pPr>
              <w:spacing w:after="0"/>
              <w:rPr>
                <w:sz w:val="10"/>
                <w:szCs w:val="10"/>
                <w:color w:val="auto"/>
              </w:rPr>
            </w:pPr>
          </w:p>
        </w:tc>
        <w:tc>
          <w:tcPr>
            <w:tcW w:w="4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We do not provide for excise tax “gross-ups” or “single triggers” in our change-in-control</w:t>
            </w:r>
          </w:p>
        </w:tc>
        <w:tc>
          <w:tcPr>
            <w:tcW w:w="620" w:type="dxa"/>
            <w:vAlign w:val="bottom"/>
            <w:gridSpan w:val="5"/>
          </w:tcPr>
          <w:p>
            <w:pPr>
              <w:jc w:val="center"/>
              <w:ind w:left="446"/>
              <w:spacing w:after="0"/>
              <w:rPr>
                <w:sz w:val="20"/>
                <w:szCs w:val="20"/>
                <w:color w:val="auto"/>
              </w:rPr>
            </w:pPr>
            <w:r>
              <w:rPr>
                <w:rFonts w:ascii="Arial" w:cs="Arial" w:eastAsia="Arial" w:hAnsi="Arial"/>
                <w:sz w:val="11"/>
                <w:szCs w:val="11"/>
                <w:color w:val="05445E"/>
                <w:w w:val="97"/>
              </w:rPr>
              <w:t>64</w:t>
            </w:r>
          </w:p>
        </w:tc>
        <w:tc>
          <w:tcPr>
            <w:tcW w:w="40" w:type="dxa"/>
            <w:vAlign w:val="bottom"/>
          </w:tcPr>
          <w:p>
            <w:pPr>
              <w:spacing w:after="0"/>
              <w:rPr>
                <w:sz w:val="10"/>
                <w:szCs w:val="10"/>
                <w:color w:val="auto"/>
              </w:rPr>
            </w:pPr>
          </w:p>
        </w:tc>
        <w:tc>
          <w:tcPr>
            <w:tcW w:w="48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99"/>
              </w:rPr>
              <w:t>financial performance metrics, and different metrics for our short-term cash incentives and</w:t>
            </w:r>
          </w:p>
        </w:tc>
        <w:tc>
          <w:tcPr>
            <w:tcW w:w="480" w:type="dxa"/>
            <w:vAlign w:val="bottom"/>
          </w:tcPr>
          <w:p>
            <w:pPr>
              <w:spacing w:after="0"/>
              <w:rPr>
                <w:sz w:val="10"/>
                <w:szCs w:val="10"/>
                <w:color w:val="auto"/>
              </w:rPr>
            </w:pPr>
          </w:p>
        </w:tc>
        <w:tc>
          <w:tcPr>
            <w:tcW w:w="120" w:type="dxa"/>
            <w:vAlign w:val="bottom"/>
            <w:tcBorders>
              <w:top w:val="single" w:sz="8" w:color="05445E"/>
            </w:tcBorders>
          </w:tcPr>
          <w:p>
            <w:pPr>
              <w:spacing w:after="0"/>
              <w:rPr>
                <w:sz w:val="10"/>
                <w:szCs w:val="10"/>
                <w:color w:val="auto"/>
              </w:rPr>
            </w:pPr>
          </w:p>
        </w:tc>
        <w:tc>
          <w:tcPr>
            <w:tcW w:w="540" w:type="dxa"/>
            <w:vAlign w:val="bottom"/>
            <w:tcBorders>
              <w:right w:val="single" w:sz="8" w:color="494949"/>
            </w:tcBorders>
          </w:tcPr>
          <w:p>
            <w:pPr>
              <w:spacing w:after="0"/>
              <w:rPr>
                <w:sz w:val="10"/>
                <w:szCs w:val="10"/>
                <w:color w:val="auto"/>
              </w:rPr>
            </w:pPr>
          </w:p>
        </w:tc>
        <w:tc>
          <w:tcPr>
            <w:tcW w:w="4400" w:type="dxa"/>
            <w:vAlign w:val="bottom"/>
            <w:tcBorders>
              <w:right w:val="single" w:sz="8" w:color="auto"/>
            </w:tcBorders>
          </w:tcPr>
          <w:p>
            <w:pPr>
              <w:spacing w:after="0" w:line="124" w:lineRule="exact"/>
              <w:rPr>
                <w:sz w:val="20"/>
                <w:szCs w:val="20"/>
                <w:color w:val="auto"/>
              </w:rPr>
            </w:pPr>
            <w:r>
              <w:rPr>
                <w:rFonts w:ascii="Arial" w:cs="Arial" w:eastAsia="Arial" w:hAnsi="Arial"/>
                <w:sz w:val="11"/>
                <w:szCs w:val="11"/>
                <w:color w:val="auto"/>
              </w:rPr>
              <w:t>severance agreements.</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5445E"/>
            </w:tcBorders>
          </w:tcPr>
          <w:p>
            <w:pPr>
              <w:spacing w:after="0"/>
              <w:rPr>
                <w:sz w:val="10"/>
                <w:szCs w:val="10"/>
                <w:color w:val="auto"/>
              </w:rPr>
            </w:pPr>
          </w:p>
        </w:tc>
        <w:tc>
          <w:tcPr>
            <w:tcW w:w="80" w:type="dxa"/>
            <w:vAlign w:val="bottom"/>
            <w:tcBorders>
              <w:top w:val="single" w:sz="8" w:color="05445E"/>
            </w:tcBorders>
          </w:tcPr>
          <w:p>
            <w:pPr>
              <w:spacing w:after="0"/>
              <w:rPr>
                <w:sz w:val="10"/>
                <w:szCs w:val="10"/>
                <w:color w:val="auto"/>
              </w:rPr>
            </w:pPr>
          </w:p>
        </w:tc>
        <w:tc>
          <w:tcPr>
            <w:tcW w:w="20" w:type="dxa"/>
            <w:vAlign w:val="bottom"/>
            <w:tcBorders>
              <w:top w:val="single" w:sz="8" w:color="05445E"/>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long-term performance awards, as well as having robust Board and Board Committee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494949"/>
            </w:tcBorders>
          </w:tcPr>
          <w:p>
            <w:pPr>
              <w:spacing w:after="0"/>
              <w:rPr>
                <w:sz w:val="10"/>
                <w:szCs w:val="10"/>
                <w:color w:val="auto"/>
              </w:rPr>
            </w:pPr>
          </w:p>
        </w:tc>
        <w:tc>
          <w:tcPr>
            <w:tcW w:w="44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processes to identify and manage risk.</w:t>
            </w:r>
          </w:p>
        </w:tc>
        <w:tc>
          <w:tcPr>
            <w:tcW w:w="480" w:type="dxa"/>
            <w:vAlign w:val="bottom"/>
            <w:tcBorders>
              <w:bottom w:val="single" w:sz="8" w:color="494949"/>
            </w:tcBorders>
          </w:tcPr>
          <w:p>
            <w:pPr>
              <w:spacing w:after="0"/>
              <w:rPr>
                <w:sz w:val="13"/>
                <w:szCs w:val="13"/>
                <w:color w:val="auto"/>
              </w:rPr>
            </w:pPr>
          </w:p>
        </w:tc>
        <w:tc>
          <w:tcPr>
            <w:tcW w:w="120" w:type="dxa"/>
            <w:vAlign w:val="bottom"/>
            <w:tcBorders>
              <w:bottom w:val="single" w:sz="8" w:color="494949"/>
            </w:tcBorders>
          </w:tcPr>
          <w:p>
            <w:pPr>
              <w:spacing w:after="0"/>
              <w:rPr>
                <w:sz w:val="13"/>
                <w:szCs w:val="13"/>
                <w:color w:val="auto"/>
              </w:rPr>
            </w:pPr>
          </w:p>
        </w:tc>
        <w:tc>
          <w:tcPr>
            <w:tcW w:w="540" w:type="dxa"/>
            <w:vAlign w:val="bottom"/>
            <w:tcBorders>
              <w:bottom w:val="single" w:sz="8" w:color="494949"/>
              <w:right w:val="single" w:sz="8" w:color="494949"/>
            </w:tcBorders>
          </w:tcPr>
          <w:p>
            <w:pPr>
              <w:spacing w:after="0"/>
              <w:rPr>
                <w:sz w:val="13"/>
                <w:szCs w:val="13"/>
                <w:color w:val="auto"/>
              </w:rPr>
            </w:pPr>
          </w:p>
        </w:tc>
        <w:tc>
          <w:tcPr>
            <w:tcW w:w="440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494949"/>
            </w:tcBorders>
          </w:tcPr>
          <w:p>
            <w:pPr>
              <w:spacing w:after="0"/>
              <w:rPr>
                <w:sz w:val="13"/>
                <w:szCs w:val="13"/>
                <w:color w:val="auto"/>
              </w:rPr>
            </w:pPr>
          </w:p>
        </w:tc>
        <w:tc>
          <w:tcPr>
            <w:tcW w:w="60" w:type="dxa"/>
            <w:vAlign w:val="bottom"/>
            <w:tcBorders>
              <w:bottom w:val="single" w:sz="8" w:color="494949"/>
            </w:tcBorders>
          </w:tcPr>
          <w:p>
            <w:pPr>
              <w:spacing w:after="0"/>
              <w:rPr>
                <w:sz w:val="13"/>
                <w:szCs w:val="13"/>
                <w:color w:val="auto"/>
              </w:rPr>
            </w:pPr>
          </w:p>
        </w:tc>
        <w:tc>
          <w:tcPr>
            <w:tcW w:w="20" w:type="dxa"/>
            <w:vAlign w:val="bottom"/>
            <w:tcBorders>
              <w:bottom w:val="single" w:sz="8" w:color="494949"/>
            </w:tcBorders>
          </w:tcPr>
          <w:p>
            <w:pPr>
              <w:spacing w:after="0"/>
              <w:rPr>
                <w:sz w:val="13"/>
                <w:szCs w:val="13"/>
                <w:color w:val="auto"/>
              </w:rPr>
            </w:pPr>
          </w:p>
        </w:tc>
        <w:tc>
          <w:tcPr>
            <w:tcW w:w="80" w:type="dxa"/>
            <w:vAlign w:val="bottom"/>
            <w:tcBorders>
              <w:bottom w:val="single" w:sz="8" w:color="494949"/>
            </w:tcBorders>
          </w:tcPr>
          <w:p>
            <w:pPr>
              <w:spacing w:after="0"/>
              <w:rPr>
                <w:sz w:val="13"/>
                <w:szCs w:val="13"/>
                <w:color w:val="auto"/>
              </w:rPr>
            </w:pPr>
          </w:p>
        </w:tc>
        <w:tc>
          <w:tcPr>
            <w:tcW w:w="20" w:type="dxa"/>
            <w:vAlign w:val="bottom"/>
            <w:tcBorders>
              <w:bottom w:val="single" w:sz="8" w:color="494949"/>
            </w:tcBorders>
          </w:tcPr>
          <w:p>
            <w:pPr>
              <w:spacing w:after="0"/>
              <w:rPr>
                <w:sz w:val="13"/>
                <w:szCs w:val="13"/>
                <w:color w:val="auto"/>
              </w:rPr>
            </w:pPr>
          </w:p>
        </w:tc>
        <w:tc>
          <w:tcPr>
            <w:tcW w:w="40" w:type="dxa"/>
            <w:vAlign w:val="bottom"/>
            <w:tcBorders>
              <w:bottom w:val="single" w:sz="8" w:color="494949"/>
            </w:tcBorders>
          </w:tcPr>
          <w:p>
            <w:pPr>
              <w:spacing w:after="0"/>
              <w:rPr>
                <w:sz w:val="13"/>
                <w:szCs w:val="13"/>
                <w:color w:val="auto"/>
              </w:rPr>
            </w:pPr>
          </w:p>
        </w:tc>
        <w:tc>
          <w:tcPr>
            <w:tcW w:w="480" w:type="dxa"/>
            <w:vAlign w:val="bottom"/>
            <w:tcBorders>
              <w:bottom w:val="single" w:sz="8" w:color="494949"/>
              <w:right w:val="single" w:sz="8" w:color="494949"/>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We have change-in-control severance agreements with all of our Named Executive</w:t>
            </w:r>
          </w:p>
        </w:tc>
        <w:tc>
          <w:tcPr>
            <w:tcW w:w="600" w:type="dxa"/>
            <w:vAlign w:val="bottom"/>
            <w:gridSpan w:val="2"/>
            <w:shd w:val="clear" w:color="auto" w:fill="DBDBDB"/>
          </w:tcPr>
          <w:p>
            <w:pPr>
              <w:jc w:val="center"/>
              <w:ind w:left="426"/>
              <w:spacing w:after="0"/>
              <w:rPr>
                <w:sz w:val="20"/>
                <w:szCs w:val="20"/>
                <w:color w:val="auto"/>
              </w:rPr>
            </w:pPr>
            <w:r>
              <w:rPr>
                <w:rFonts w:ascii="Arial" w:cs="Arial" w:eastAsia="Arial" w:hAnsi="Arial"/>
                <w:sz w:val="11"/>
                <w:szCs w:val="11"/>
                <w:color w:val="05445E"/>
                <w:w w:val="97"/>
              </w:rPr>
              <w:t>63</w:t>
            </w:r>
          </w:p>
        </w:tc>
        <w:tc>
          <w:tcPr>
            <w:tcW w:w="540" w:type="dxa"/>
            <w:vAlign w:val="bottom"/>
            <w:tcBorders>
              <w:right w:val="single" w:sz="8" w:color="494949"/>
            </w:tcBorders>
            <w:shd w:val="clear" w:color="auto" w:fill="DBDBDB"/>
          </w:tcPr>
          <w:p>
            <w:pPr>
              <w:spacing w:after="0"/>
              <w:rPr>
                <w:sz w:val="10"/>
                <w:szCs w:val="10"/>
                <w:color w:val="auto"/>
              </w:rPr>
            </w:pPr>
          </w:p>
        </w:tc>
        <w:tc>
          <w:tcPr>
            <w:tcW w:w="440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1"/>
                <w:szCs w:val="11"/>
                <w:color w:val="auto"/>
              </w:rPr>
              <w:t>We do not reprice underwater stock options or stock appreciation rights.</w:t>
            </w:r>
          </w:p>
        </w:tc>
        <w:tc>
          <w:tcPr>
            <w:tcW w:w="44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40" w:type="dxa"/>
            <w:vAlign w:val="bottom"/>
            <w:shd w:val="clear" w:color="auto" w:fill="DBDBDB"/>
          </w:tcPr>
          <w:p>
            <w:pPr>
              <w:spacing w:after="0"/>
              <w:rPr>
                <w:sz w:val="10"/>
                <w:szCs w:val="10"/>
                <w:color w:val="auto"/>
              </w:rPr>
            </w:pPr>
          </w:p>
        </w:tc>
        <w:tc>
          <w:tcPr>
            <w:tcW w:w="480" w:type="dxa"/>
            <w:vAlign w:val="bottom"/>
            <w:tcBorders>
              <w:right w:val="single" w:sz="8" w:color="494949"/>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420" w:type="dxa"/>
            <w:vAlign w:val="bottom"/>
            <w:tcBorders>
              <w:top w:val="single" w:sz="8" w:color="DBDBDB"/>
              <w:left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Officers that provide benefits only upon a “double trigger.”</w:t>
            </w:r>
          </w:p>
        </w:tc>
        <w:tc>
          <w:tcPr>
            <w:tcW w:w="480" w:type="dxa"/>
            <w:vAlign w:val="bottom"/>
            <w:tcBorders>
              <w:top w:val="single" w:sz="8" w:color="DBDBDB"/>
              <w:bottom w:val="single" w:sz="8" w:color="auto"/>
            </w:tcBorders>
            <w:shd w:val="clear" w:color="auto" w:fill="DBDBDB"/>
          </w:tcPr>
          <w:p>
            <w:pPr>
              <w:spacing w:after="0"/>
              <w:rPr>
                <w:sz w:val="12"/>
                <w:szCs w:val="12"/>
                <w:color w:val="auto"/>
              </w:rPr>
            </w:pPr>
          </w:p>
        </w:tc>
        <w:tc>
          <w:tcPr>
            <w:tcW w:w="120" w:type="dxa"/>
            <w:vAlign w:val="bottom"/>
            <w:tcBorders>
              <w:top w:val="single" w:sz="8" w:color="05445E"/>
              <w:bottom w:val="single" w:sz="8" w:color="auto"/>
            </w:tcBorders>
            <w:shd w:val="clear" w:color="auto" w:fill="DBDBDB"/>
          </w:tcPr>
          <w:p>
            <w:pPr>
              <w:spacing w:after="0"/>
              <w:rPr>
                <w:sz w:val="12"/>
                <w:szCs w:val="12"/>
                <w:color w:val="auto"/>
              </w:rPr>
            </w:pPr>
          </w:p>
        </w:tc>
        <w:tc>
          <w:tcPr>
            <w:tcW w:w="540" w:type="dxa"/>
            <w:vAlign w:val="bottom"/>
            <w:tcBorders>
              <w:top w:val="single" w:sz="8" w:color="DBDBDB"/>
              <w:bottom w:val="single" w:sz="8" w:color="auto"/>
              <w:right w:val="single" w:sz="8" w:color="494949"/>
            </w:tcBorders>
            <w:shd w:val="clear" w:color="auto" w:fill="DBDBDB"/>
          </w:tcPr>
          <w:p>
            <w:pPr>
              <w:spacing w:after="0"/>
              <w:rPr>
                <w:sz w:val="12"/>
                <w:szCs w:val="12"/>
                <w:color w:val="auto"/>
              </w:rPr>
            </w:pPr>
          </w:p>
        </w:tc>
        <w:tc>
          <w:tcPr>
            <w:tcW w:w="4400" w:type="dxa"/>
            <w:vAlign w:val="bottom"/>
            <w:tcBorders>
              <w:top w:val="single" w:sz="8" w:color="DBDBDB"/>
              <w:bottom w:val="single" w:sz="8" w:color="auto"/>
              <w:right w:val="single" w:sz="8" w:color="auto"/>
            </w:tcBorders>
            <w:shd w:val="clear" w:color="auto" w:fill="DBDBDB"/>
          </w:tcPr>
          <w:p>
            <w:pPr>
              <w:spacing w:after="0"/>
              <w:rPr>
                <w:sz w:val="12"/>
                <w:szCs w:val="12"/>
                <w:color w:val="auto"/>
              </w:rPr>
            </w:pPr>
          </w:p>
        </w:tc>
        <w:tc>
          <w:tcPr>
            <w:tcW w:w="440" w:type="dxa"/>
            <w:vAlign w:val="bottom"/>
            <w:tcBorders>
              <w:top w:val="single" w:sz="8" w:color="DBDBDB"/>
              <w:bottom w:val="single" w:sz="8" w:color="494949"/>
            </w:tcBorders>
            <w:shd w:val="clear" w:color="auto" w:fill="DBDBDB"/>
          </w:tcPr>
          <w:p>
            <w:pPr>
              <w:spacing w:after="0"/>
              <w:rPr>
                <w:sz w:val="12"/>
                <w:szCs w:val="12"/>
                <w:color w:val="auto"/>
              </w:rPr>
            </w:pPr>
          </w:p>
        </w:tc>
        <w:tc>
          <w:tcPr>
            <w:tcW w:w="60" w:type="dxa"/>
            <w:vAlign w:val="bottom"/>
            <w:tcBorders>
              <w:top w:val="single" w:sz="8" w:color="DBDBDB"/>
              <w:bottom w:val="single" w:sz="8" w:color="494949"/>
            </w:tcBorders>
            <w:shd w:val="clear" w:color="auto" w:fill="DBDBDB"/>
          </w:tcPr>
          <w:p>
            <w:pPr>
              <w:spacing w:after="0"/>
              <w:rPr>
                <w:sz w:val="12"/>
                <w:szCs w:val="12"/>
                <w:color w:val="auto"/>
              </w:rPr>
            </w:pPr>
          </w:p>
        </w:tc>
        <w:tc>
          <w:tcPr>
            <w:tcW w:w="20" w:type="dxa"/>
            <w:vAlign w:val="bottom"/>
            <w:tcBorders>
              <w:top w:val="single" w:sz="8" w:color="DBDBDB"/>
              <w:bottom w:val="single" w:sz="8" w:color="494949"/>
            </w:tcBorders>
            <w:shd w:val="clear" w:color="auto" w:fill="DBDBDB"/>
          </w:tcPr>
          <w:p>
            <w:pPr>
              <w:spacing w:after="0"/>
              <w:rPr>
                <w:sz w:val="12"/>
                <w:szCs w:val="12"/>
                <w:color w:val="auto"/>
              </w:rPr>
            </w:pPr>
          </w:p>
        </w:tc>
        <w:tc>
          <w:tcPr>
            <w:tcW w:w="80" w:type="dxa"/>
            <w:vAlign w:val="bottom"/>
            <w:tcBorders>
              <w:top w:val="single" w:sz="8" w:color="DBDBDB"/>
              <w:bottom w:val="single" w:sz="8" w:color="494949"/>
            </w:tcBorders>
            <w:shd w:val="clear" w:color="auto" w:fill="DBDBDB"/>
          </w:tcPr>
          <w:p>
            <w:pPr>
              <w:spacing w:after="0"/>
              <w:rPr>
                <w:sz w:val="12"/>
                <w:szCs w:val="12"/>
                <w:color w:val="auto"/>
              </w:rPr>
            </w:pPr>
          </w:p>
        </w:tc>
        <w:tc>
          <w:tcPr>
            <w:tcW w:w="20" w:type="dxa"/>
            <w:vAlign w:val="bottom"/>
            <w:tcBorders>
              <w:top w:val="single" w:sz="8" w:color="DBDBDB"/>
              <w:bottom w:val="single" w:sz="8" w:color="494949"/>
            </w:tcBorders>
            <w:shd w:val="clear" w:color="auto" w:fill="DBDBDB"/>
          </w:tcPr>
          <w:p>
            <w:pPr>
              <w:spacing w:after="0"/>
              <w:rPr>
                <w:sz w:val="12"/>
                <w:szCs w:val="12"/>
                <w:color w:val="auto"/>
              </w:rPr>
            </w:pPr>
          </w:p>
        </w:tc>
        <w:tc>
          <w:tcPr>
            <w:tcW w:w="40" w:type="dxa"/>
            <w:vAlign w:val="bottom"/>
            <w:tcBorders>
              <w:top w:val="single" w:sz="8" w:color="DBDBDB"/>
              <w:bottom w:val="single" w:sz="8" w:color="494949"/>
            </w:tcBorders>
            <w:shd w:val="clear" w:color="auto" w:fill="DBDBDB"/>
          </w:tcPr>
          <w:p>
            <w:pPr>
              <w:spacing w:after="0"/>
              <w:rPr>
                <w:sz w:val="12"/>
                <w:szCs w:val="12"/>
                <w:color w:val="auto"/>
              </w:rPr>
            </w:pPr>
          </w:p>
        </w:tc>
        <w:tc>
          <w:tcPr>
            <w:tcW w:w="480" w:type="dxa"/>
            <w:vAlign w:val="bottom"/>
            <w:tcBorders>
              <w:top w:val="single" w:sz="8" w:color="DBDBDB"/>
              <w:bottom w:val="single" w:sz="8" w:color="494949"/>
              <w:right w:val="single" w:sz="8" w:color="494949"/>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2"/>
          <w:szCs w:val="12"/>
          <w:b w:val="1"/>
          <w:bCs w:val="1"/>
          <w:u w:val="single" w:color="auto"/>
          <w:color w:val="auto"/>
        </w:rPr>
        <w:t>Our Executive Compensation Program</w:t>
      </w:r>
      <w:r>
        <w:rPr>
          <w:rFonts w:ascii="Arial" w:cs="Arial" w:eastAsia="Arial" w:hAnsi="Arial"/>
          <w:sz w:val="12"/>
          <w:szCs w:val="12"/>
          <w:color w:val="auto"/>
        </w:rPr>
        <w:t>. Total compensation for our executive officers includes a mix of short-term and long-term incentive compensation, and fixed and performance-based compensation. The</w:t>
      </w:r>
      <w:r>
        <w:rPr>
          <w:rFonts w:ascii="Arial" w:cs="Arial" w:eastAsia="Arial" w:hAnsi="Arial"/>
          <w:sz w:val="12"/>
          <w:szCs w:val="12"/>
          <w:b w:val="1"/>
          <w:bCs w:val="1"/>
          <w:color w:val="auto"/>
        </w:rPr>
        <w:t xml:space="preserve"> </w:t>
      </w:r>
      <w:r>
        <w:rPr>
          <w:rFonts w:ascii="Arial" w:cs="Arial" w:eastAsia="Arial" w:hAnsi="Arial"/>
          <w:sz w:val="12"/>
          <w:szCs w:val="12"/>
          <w:color w:val="auto"/>
        </w:rPr>
        <w:t>charts below illustrate the fiscal 2026 target mix of short-term and long-term incentives, and fixed and performance-based compensation, for Mr. Nolan and our Other Named Executive Officers. This information is used by the Committee as a guideline in making compensation awards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91440</wp:posOffset>
            </wp:positionV>
            <wp:extent cx="640651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06515" cy="20574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Fiscal 2026 Target Compensation Mix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124460</wp:posOffset>
            </wp:positionV>
            <wp:extent cx="788670" cy="708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88670" cy="70866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55880</wp:posOffset>
            </wp:positionV>
            <wp:extent cx="2028825" cy="1805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28825" cy="180594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8"/>
          <w:szCs w:val="8"/>
          <w:b w:val="1"/>
          <w:bCs w:val="1"/>
          <w:color w:val="FFFFFF"/>
          <w:shd w:val="clear" w:color="auto" w:fill="7EB9D5"/>
        </w:rPr>
        <w:t>26%</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0"/>
          <w:szCs w:val="10"/>
          <w:b w:val="1"/>
          <w:bCs w:val="1"/>
          <w:color w:val="7C7C7C"/>
        </w:rPr>
        <w:t>Short-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0"/>
          <w:szCs w:val="10"/>
          <w:b w:val="1"/>
          <w:bCs w:val="1"/>
          <w:color w:val="7C7C7C"/>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-28575</wp:posOffset>
            </wp:positionV>
            <wp:extent cx="731520" cy="342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520" cy="3429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0"/>
          <w:szCs w:val="10"/>
          <w:b w:val="1"/>
          <w:bCs w:val="1"/>
          <w:color w:val="7C7C7C"/>
        </w:rPr>
        <w:t>52%</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8"/>
          <w:szCs w:val="8"/>
          <w:b w:val="1"/>
          <w:bCs w:val="1"/>
          <w:color w:val="FFFFFF"/>
          <w:shd w:val="clear" w:color="auto" w:fill="05445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180340</wp:posOffset>
            </wp:positionV>
            <wp:extent cx="794385" cy="662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94385" cy="66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Arial" w:cs="Arial" w:eastAsia="Arial" w:hAnsi="Arial"/>
          <w:sz w:val="10"/>
          <w:szCs w:val="10"/>
          <w:b w:val="1"/>
          <w:bCs w:val="1"/>
          <w:color w:val="7C7C7C"/>
        </w:rPr>
        <w:t>Long-</w:t>
      </w:r>
    </w:p>
    <w:p>
      <w:pPr>
        <w:ind w:left="460"/>
        <w:spacing w:after="0" w:line="201" w:lineRule="auto"/>
        <w:tabs>
          <w:tab w:leader="none" w:pos="1700" w:val="left"/>
        </w:tabs>
        <w:rPr>
          <w:sz w:val="20"/>
          <w:szCs w:val="20"/>
          <w:color w:val="auto"/>
        </w:rPr>
      </w:pPr>
      <w:r>
        <w:rPr>
          <w:rFonts w:ascii="Arial" w:cs="Arial" w:eastAsia="Arial" w:hAnsi="Arial"/>
          <w:sz w:val="8"/>
          <w:szCs w:val="8"/>
          <w:b w:val="1"/>
          <w:bCs w:val="1"/>
          <w:color w:val="7C7C7C"/>
        </w:rPr>
        <w:t>Term</w:t>
      </w:r>
      <w:r>
        <w:rPr>
          <w:sz w:val="20"/>
          <w:szCs w:val="20"/>
          <w:color w:val="auto"/>
        </w:rPr>
        <w:tab/>
      </w:r>
      <w:r>
        <w:rPr>
          <w:rFonts w:ascii="Arial" w:cs="Arial" w:eastAsia="Arial" w:hAnsi="Arial"/>
          <w:sz w:val="14"/>
          <w:szCs w:val="14"/>
          <w:b w:val="1"/>
          <w:bCs w:val="1"/>
          <w:color w:val="FFFFFF"/>
          <w:vertAlign w:val="superscript"/>
          <w:shd w:val="clear" w:color="auto" w:fill="737373"/>
        </w:rPr>
        <w:t>48%</w:t>
      </w:r>
    </w:p>
    <w:p>
      <w:pPr>
        <w:ind w:left="480"/>
        <w:spacing w:after="0"/>
        <w:rPr>
          <w:sz w:val="20"/>
          <w:szCs w:val="20"/>
          <w:color w:val="auto"/>
        </w:rPr>
      </w:pPr>
      <w:r>
        <w:rPr>
          <w:rFonts w:ascii="Arial" w:cs="Arial" w:eastAsia="Arial" w:hAnsi="Arial"/>
          <w:sz w:val="10"/>
          <w:szCs w:val="10"/>
          <w:b w:val="1"/>
          <w:bCs w:val="1"/>
          <w:color w:val="7C7C7C"/>
        </w:rPr>
        <w:t>48%</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7C7C7C"/>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165735</wp:posOffset>
            </wp:positionV>
            <wp:extent cx="11430" cy="10058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430" cy="100584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7C7C7C"/>
        </w:rPr>
        <w:t>Short-Term Cash Incentive at Target</w:t>
      </w:r>
    </w:p>
    <w:p>
      <w:pPr>
        <w:spacing w:after="0" w:line="200" w:lineRule="exact"/>
        <w:rPr>
          <w:sz w:val="20"/>
          <w:szCs w:val="20"/>
          <w:color w:val="auto"/>
        </w:rPr>
      </w:pPr>
    </w:p>
    <w:p>
      <w:pPr>
        <w:spacing w:after="0" w:line="207" w:lineRule="exact"/>
        <w:rPr>
          <w:sz w:val="20"/>
          <w:szCs w:val="20"/>
          <w:color w:val="auto"/>
        </w:rPr>
      </w:pPr>
    </w:p>
    <w:p>
      <w:pPr>
        <w:jc w:val="right"/>
        <w:ind w:right="6100"/>
        <w:spacing w:after="0"/>
        <w:rPr>
          <w:sz w:val="20"/>
          <w:szCs w:val="20"/>
          <w:color w:val="auto"/>
        </w:rPr>
      </w:pPr>
      <w:r>
        <w:rPr>
          <w:rFonts w:ascii="Arial" w:cs="Arial" w:eastAsia="Arial" w:hAnsi="Arial"/>
          <w:sz w:val="10"/>
          <w:szCs w:val="10"/>
          <w:b w:val="1"/>
          <w:bCs w:val="1"/>
          <w:color w:val="7C7C7C"/>
        </w:rPr>
        <w:t>At Risk Pay 74%</w:t>
      </w:r>
    </w:p>
    <w:p>
      <w:pPr>
        <w:spacing w:after="0" w:line="119" w:lineRule="exact"/>
        <w:rPr>
          <w:sz w:val="20"/>
          <w:szCs w:val="20"/>
          <w:color w:val="auto"/>
        </w:rPr>
      </w:pPr>
    </w:p>
    <w:p>
      <w:pPr>
        <w:spacing w:after="0"/>
        <w:rPr>
          <w:sz w:val="20"/>
          <w:szCs w:val="20"/>
          <w:color w:val="auto"/>
        </w:rPr>
      </w:pPr>
      <w:r>
        <w:rPr>
          <w:rFonts w:ascii="Arial" w:cs="Arial" w:eastAsia="Arial" w:hAnsi="Arial"/>
          <w:sz w:val="10"/>
          <w:szCs w:val="10"/>
          <w:b w:val="1"/>
          <w:bCs w:val="1"/>
          <w:color w:val="7C7C7C"/>
        </w:rPr>
        <w:t>Restricted Stock Awards with Service-</w:t>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b w:val="1"/>
          <w:bCs w:val="1"/>
          <w:color w:val="7C7C7C"/>
        </w:rPr>
        <w:t>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930910</wp:posOffset>
            </wp:positionV>
            <wp:extent cx="640651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06515" cy="205740"/>
                    </a:xfrm>
                    <a:prstGeom prst="rect">
                      <a:avLst/>
                    </a:prstGeom>
                    <a:noFill/>
                  </pic:spPr>
                </pic:pic>
              </a:graphicData>
            </a:graphic>
          </wp:anchor>
        </w:drawing>
        <w:drawing>
          <wp:anchor simplePos="0" relativeHeight="251657728" behindDoc="1" locked="0" layoutInCell="0" allowOverlap="1">
            <wp:simplePos x="0" y="0"/>
            <wp:positionH relativeFrom="column">
              <wp:posOffset>-1190625</wp:posOffset>
            </wp:positionH>
            <wp:positionV relativeFrom="paragraph">
              <wp:posOffset>868045</wp:posOffset>
            </wp:positionV>
            <wp:extent cx="64065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06515" cy="571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1920" w:space="560"/>
            <w:col w:w="8820"/>
          </w:cols>
          <w:pgMar w:left="300" w:top="81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FFFFFF"/>
        </w:rPr>
        <w:t>Fiscal 2026 Target Compensation Mix</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FFFFF"/>
        </w:rPr>
        <w:t>Average -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50165</wp:posOffset>
            </wp:positionV>
            <wp:extent cx="2028825" cy="1805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28825" cy="18059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547"/>
        </w:trPr>
        <w:tc>
          <w:tcPr>
            <w:tcW w:w="7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shd w:val="clear" w:color="auto" w:fill="7FB9D5"/>
          </w:tcPr>
          <w:p>
            <w:pPr>
              <w:jc w:val="right"/>
              <w:spacing w:after="0"/>
              <w:rPr>
                <w:sz w:val="20"/>
                <w:szCs w:val="20"/>
                <w:color w:val="auto"/>
              </w:rPr>
            </w:pPr>
            <w:r>
              <w:rPr>
                <w:rFonts w:ascii="Arial" w:cs="Arial" w:eastAsia="Arial" w:hAnsi="Arial"/>
                <w:sz w:val="10"/>
                <w:szCs w:val="10"/>
                <w:b w:val="1"/>
                <w:bCs w:val="1"/>
                <w:color w:val="FFFFFF"/>
              </w:rPr>
              <w:t>37%</w:t>
            </w:r>
          </w:p>
        </w:tc>
        <w:tc>
          <w:tcPr>
            <w:tcW w:w="480" w:type="dxa"/>
            <w:vAlign w:val="bottom"/>
            <w:shd w:val="clear" w:color="auto" w:fill="7FB9D5"/>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0"/>
                <w:szCs w:val="10"/>
                <w:b w:val="1"/>
                <w:bCs w:val="1"/>
                <w:color w:val="7C7C7C"/>
              </w:rPr>
              <w:t>Base Salary</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0" w:type="dxa"/>
            <w:vAlign w:val="bottom"/>
            <w:tcBorders>
              <w:right w:val="single" w:sz="8" w:color="auto"/>
            </w:tcBorders>
          </w:tcPr>
          <w:p>
            <w:pPr>
              <w:jc w:val="center"/>
              <w:ind w:right="416"/>
              <w:spacing w:after="0"/>
              <w:rPr>
                <w:sz w:val="20"/>
                <w:szCs w:val="20"/>
                <w:color w:val="auto"/>
              </w:rPr>
            </w:pPr>
            <w:r>
              <w:rPr>
                <w:rFonts w:ascii="Arial" w:cs="Arial" w:eastAsia="Arial" w:hAnsi="Arial"/>
                <w:sz w:val="10"/>
                <w:szCs w:val="10"/>
                <w:b w:val="1"/>
                <w:bCs w:val="1"/>
                <w:color w:val="7C7C7C"/>
                <w:w w:val="94"/>
              </w:rPr>
              <w:t>Short-</w:t>
            </w:r>
          </w:p>
        </w:tc>
        <w:tc>
          <w:tcPr>
            <w:tcW w:w="60" w:type="dxa"/>
            <w:vAlign w:val="bottom"/>
          </w:tcPr>
          <w:p>
            <w:pPr>
              <w:spacing w:after="0"/>
              <w:rPr>
                <w:sz w:val="13"/>
                <w:szCs w:val="13"/>
                <w:color w:val="auto"/>
              </w:rPr>
            </w:pPr>
          </w:p>
        </w:tc>
        <w:tc>
          <w:tcPr>
            <w:tcW w:w="480" w:type="dxa"/>
            <w:vAlign w:val="bottom"/>
            <w:shd w:val="clear" w:color="auto" w:fill="7FB9D5"/>
          </w:tcPr>
          <w:p>
            <w:pPr>
              <w:spacing w:after="0"/>
              <w:rPr>
                <w:sz w:val="13"/>
                <w:szCs w:val="13"/>
                <w:color w:val="auto"/>
              </w:rPr>
            </w:pPr>
          </w:p>
        </w:tc>
        <w:tc>
          <w:tcPr>
            <w:tcW w:w="200" w:type="dxa"/>
            <w:vAlign w:val="bottom"/>
            <w:shd w:val="clear" w:color="auto" w:fill="7FB9D5"/>
          </w:tcPr>
          <w:p>
            <w:pPr>
              <w:spacing w:after="0"/>
              <w:rPr>
                <w:sz w:val="13"/>
                <w:szCs w:val="13"/>
                <w:color w:val="auto"/>
              </w:rPr>
            </w:pPr>
          </w:p>
        </w:tc>
        <w:tc>
          <w:tcPr>
            <w:tcW w:w="480" w:type="dxa"/>
            <w:vAlign w:val="bottom"/>
            <w:shd w:val="clear" w:color="auto" w:fill="7FB9D5"/>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40" w:type="dxa"/>
            <w:vAlign w:val="bottom"/>
            <w:tcBorders>
              <w:right w:val="single" w:sz="8" w:color="auto"/>
            </w:tcBorders>
          </w:tcPr>
          <w:p>
            <w:pPr>
              <w:jc w:val="center"/>
              <w:ind w:right="396"/>
              <w:spacing w:after="0"/>
              <w:rPr>
                <w:sz w:val="20"/>
                <w:szCs w:val="20"/>
                <w:color w:val="auto"/>
              </w:rPr>
            </w:pPr>
            <w:r>
              <w:rPr>
                <w:rFonts w:ascii="Arial" w:cs="Arial" w:eastAsia="Arial" w:hAnsi="Arial"/>
                <w:sz w:val="10"/>
                <w:szCs w:val="10"/>
                <w:b w:val="1"/>
                <w:bCs w:val="1"/>
                <w:color w:val="7C7C7C"/>
                <w:w w:val="89"/>
              </w:rPr>
              <w:t>Term</w:t>
            </w:r>
          </w:p>
        </w:tc>
        <w:tc>
          <w:tcPr>
            <w:tcW w:w="60" w:type="dxa"/>
            <w:vAlign w:val="bottom"/>
          </w:tcPr>
          <w:p>
            <w:pPr>
              <w:spacing w:after="0"/>
              <w:rPr>
                <w:sz w:val="10"/>
                <w:szCs w:val="10"/>
                <w:color w:val="auto"/>
              </w:rPr>
            </w:pPr>
          </w:p>
        </w:tc>
        <w:tc>
          <w:tcPr>
            <w:tcW w:w="480" w:type="dxa"/>
            <w:vAlign w:val="bottom"/>
            <w:shd w:val="clear" w:color="auto" w:fill="7FB9D5"/>
          </w:tcPr>
          <w:p>
            <w:pPr>
              <w:spacing w:after="0"/>
              <w:rPr>
                <w:sz w:val="10"/>
                <w:szCs w:val="10"/>
                <w:color w:val="auto"/>
              </w:rPr>
            </w:pPr>
          </w:p>
        </w:tc>
        <w:tc>
          <w:tcPr>
            <w:tcW w:w="200" w:type="dxa"/>
            <w:vAlign w:val="bottom"/>
            <w:shd w:val="clear" w:color="auto" w:fill="7FB9D5"/>
          </w:tcPr>
          <w:p>
            <w:pPr>
              <w:spacing w:after="0"/>
              <w:rPr>
                <w:sz w:val="10"/>
                <w:szCs w:val="10"/>
                <w:color w:val="auto"/>
              </w:rPr>
            </w:pPr>
          </w:p>
        </w:tc>
        <w:tc>
          <w:tcPr>
            <w:tcW w:w="480" w:type="dxa"/>
            <w:vAlign w:val="bottom"/>
            <w:shd w:val="clear" w:color="auto" w:fill="7FB9D5"/>
          </w:tcPr>
          <w:p>
            <w:pPr>
              <w:spacing w:after="0"/>
              <w:rPr>
                <w:sz w:val="10"/>
                <w:szCs w:val="10"/>
                <w:color w:val="auto"/>
              </w:rPr>
            </w:pPr>
          </w:p>
        </w:tc>
        <w:tc>
          <w:tcPr>
            <w:tcW w:w="2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 w:type="dxa"/>
            <w:vAlign w:val="bottom"/>
            <w:tcBorders>
              <w:right w:val="single" w:sz="8" w:color="auto"/>
            </w:tcBorders>
          </w:tcPr>
          <w:p>
            <w:pPr>
              <w:jc w:val="center"/>
              <w:ind w:right="416"/>
              <w:spacing w:after="0"/>
              <w:rPr>
                <w:sz w:val="20"/>
                <w:szCs w:val="20"/>
                <w:color w:val="auto"/>
              </w:rPr>
            </w:pPr>
            <w:r>
              <w:rPr>
                <w:rFonts w:ascii="Arial" w:cs="Arial" w:eastAsia="Arial" w:hAnsi="Arial"/>
                <w:sz w:val="10"/>
                <w:szCs w:val="10"/>
                <w:b w:val="1"/>
                <w:bCs w:val="1"/>
                <w:color w:val="7C7C7C"/>
                <w:w w:val="99"/>
              </w:rPr>
              <w:t>58%</w:t>
            </w:r>
          </w:p>
        </w:tc>
        <w:tc>
          <w:tcPr>
            <w:tcW w:w="60" w:type="dxa"/>
            <w:vAlign w:val="bottom"/>
          </w:tcPr>
          <w:p>
            <w:pPr>
              <w:spacing w:after="0"/>
              <w:rPr>
                <w:sz w:val="11"/>
                <w:szCs w:val="11"/>
                <w:color w:val="auto"/>
              </w:rPr>
            </w:pPr>
          </w:p>
        </w:tc>
        <w:tc>
          <w:tcPr>
            <w:tcW w:w="480" w:type="dxa"/>
            <w:vAlign w:val="bottom"/>
            <w:tcBorders>
              <w:bottom w:val="single" w:sz="8" w:color="7FB9D5"/>
            </w:tcBorders>
            <w:shd w:val="clear" w:color="auto" w:fill="7FB9D5"/>
          </w:tcPr>
          <w:p>
            <w:pPr>
              <w:spacing w:after="0"/>
              <w:rPr>
                <w:sz w:val="11"/>
                <w:szCs w:val="11"/>
                <w:color w:val="auto"/>
              </w:rPr>
            </w:pPr>
          </w:p>
        </w:tc>
        <w:tc>
          <w:tcPr>
            <w:tcW w:w="200" w:type="dxa"/>
            <w:vAlign w:val="bottom"/>
            <w:tcBorders>
              <w:bottom w:val="single" w:sz="8" w:color="7FB9D5"/>
            </w:tcBorders>
            <w:shd w:val="clear" w:color="auto" w:fill="7FB9D5"/>
          </w:tcPr>
          <w:p>
            <w:pPr>
              <w:spacing w:after="0"/>
              <w:rPr>
                <w:sz w:val="11"/>
                <w:szCs w:val="11"/>
                <w:color w:val="auto"/>
              </w:rPr>
            </w:pPr>
          </w:p>
        </w:tc>
        <w:tc>
          <w:tcPr>
            <w:tcW w:w="480" w:type="dxa"/>
            <w:vAlign w:val="bottom"/>
            <w:tcBorders>
              <w:bottom w:val="single" w:sz="8" w:color="7FB9D5"/>
            </w:tcBorders>
            <w:shd w:val="clear" w:color="auto" w:fill="7FB9D5"/>
          </w:tcPr>
          <w:p>
            <w:pPr>
              <w:spacing w:after="0"/>
              <w:rPr>
                <w:sz w:val="11"/>
                <w:szCs w:val="11"/>
                <w:color w:val="auto"/>
              </w:rPr>
            </w:pPr>
          </w:p>
        </w:tc>
        <w:tc>
          <w:tcPr>
            <w:tcW w:w="2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40" w:type="dxa"/>
            <w:vAlign w:val="bottom"/>
            <w:tcBorders>
              <w:right w:val="single" w:sz="8" w:color="auto"/>
            </w:tcBorders>
          </w:tcPr>
          <w:p>
            <w:pPr>
              <w:spacing w:after="0"/>
              <w:rPr>
                <w:sz w:val="3"/>
                <w:szCs w:val="3"/>
                <w:color w:val="auto"/>
              </w:rPr>
            </w:pPr>
          </w:p>
        </w:tc>
        <w:tc>
          <w:tcPr>
            <w:tcW w:w="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1"/>
        </w:trPr>
        <w:tc>
          <w:tcPr>
            <w:tcW w:w="7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shd w:val="clear" w:color="auto" w:fill="04445F"/>
          </w:tcPr>
          <w:p>
            <w:pPr>
              <w:jc w:val="right"/>
              <w:spacing w:after="0"/>
              <w:rPr>
                <w:sz w:val="20"/>
                <w:szCs w:val="20"/>
                <w:color w:val="auto"/>
              </w:rPr>
            </w:pPr>
            <w:r>
              <w:rPr>
                <w:rFonts w:ascii="Arial" w:cs="Arial" w:eastAsia="Arial" w:hAnsi="Arial"/>
                <w:sz w:val="10"/>
                <w:szCs w:val="10"/>
                <w:b w:val="1"/>
                <w:bCs w:val="1"/>
                <w:color w:val="FFFFFF"/>
              </w:rPr>
              <w:t>21%</w:t>
            </w:r>
          </w:p>
        </w:tc>
        <w:tc>
          <w:tcPr>
            <w:tcW w:w="480" w:type="dxa"/>
            <w:vAlign w:val="bottom"/>
            <w:shd w:val="clear" w:color="auto" w:fill="04445F"/>
          </w:tcPr>
          <w:p>
            <w:pPr>
              <w:spacing w:after="0"/>
              <w:rPr>
                <w:sz w:val="24"/>
                <w:szCs w:val="24"/>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0"/>
                <w:szCs w:val="10"/>
                <w:b w:val="1"/>
                <w:bCs w:val="1"/>
                <w:color w:val="7C7C7C"/>
              </w:rPr>
              <w:t>Short-Term Cash Incentive at Target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shd w:val="clear" w:color="auto" w:fill="04445F"/>
          </w:tcPr>
          <w:p>
            <w:pPr>
              <w:spacing w:after="0"/>
              <w:rPr>
                <w:sz w:val="18"/>
                <w:szCs w:val="18"/>
                <w:color w:val="auto"/>
              </w:rPr>
            </w:pPr>
          </w:p>
        </w:tc>
        <w:tc>
          <w:tcPr>
            <w:tcW w:w="200" w:type="dxa"/>
            <w:vAlign w:val="bottom"/>
            <w:shd w:val="clear" w:color="auto" w:fill="04445F"/>
          </w:tcPr>
          <w:p>
            <w:pPr>
              <w:spacing w:after="0"/>
              <w:rPr>
                <w:sz w:val="18"/>
                <w:szCs w:val="18"/>
                <w:color w:val="auto"/>
              </w:rPr>
            </w:pPr>
          </w:p>
        </w:tc>
        <w:tc>
          <w:tcPr>
            <w:tcW w:w="480" w:type="dxa"/>
            <w:vAlign w:val="bottom"/>
            <w:shd w:val="clear" w:color="auto" w:fill="04445F"/>
          </w:tcPr>
          <w:p>
            <w:pPr>
              <w:spacing w:after="0"/>
              <w:rPr>
                <w:sz w:val="18"/>
                <w:szCs w:val="18"/>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0"/>
                <w:szCs w:val="10"/>
                <w:b w:val="1"/>
                <w:bCs w:val="1"/>
                <w:color w:val="7C7C7C"/>
              </w:rPr>
              <w:t>Restricted Stock Award with Service-</w:t>
            </w:r>
          </w:p>
        </w:tc>
        <w:tc>
          <w:tcPr>
            <w:tcW w:w="680" w:type="dxa"/>
            <w:vAlign w:val="bottom"/>
            <w:vMerge w:val="restart"/>
          </w:tcPr>
          <w:p>
            <w:pPr>
              <w:jc w:val="center"/>
              <w:ind w:left="112"/>
              <w:spacing w:after="0"/>
              <w:rPr>
                <w:sz w:val="20"/>
                <w:szCs w:val="20"/>
                <w:color w:val="auto"/>
              </w:rPr>
            </w:pPr>
            <w:r>
              <w:rPr>
                <w:rFonts w:ascii="Arial" w:cs="Arial" w:eastAsia="Arial" w:hAnsi="Arial"/>
                <w:sz w:val="10"/>
                <w:szCs w:val="10"/>
                <w:b w:val="1"/>
                <w:bCs w:val="1"/>
                <w:color w:val="7C7C7C"/>
                <w:w w:val="94"/>
              </w:rPr>
              <w:t>At Risk Pay</w:t>
            </w:r>
          </w:p>
        </w:tc>
        <w:tc>
          <w:tcPr>
            <w:tcW w:w="0" w:type="dxa"/>
            <w:vAlign w:val="bottom"/>
          </w:tcPr>
          <w:p>
            <w:pPr>
              <w:spacing w:after="0"/>
              <w:rPr>
                <w:sz w:val="1"/>
                <w:szCs w:val="1"/>
                <w:color w:val="auto"/>
              </w:rPr>
            </w:pPr>
          </w:p>
        </w:tc>
      </w:tr>
      <w:tr>
        <w:trPr>
          <w:trHeight w:val="36"/>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20" w:type="dxa"/>
            <w:vAlign w:val="bottom"/>
            <w:tcBorders>
              <w:right w:val="single" w:sz="8" w:color="auto"/>
            </w:tcBorders>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7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shd w:val="clear" w:color="auto" w:fill="737373"/>
          </w:tcPr>
          <w:p>
            <w:pPr>
              <w:spacing w:after="0"/>
              <w:rPr>
                <w:sz w:val="22"/>
                <w:szCs w:val="22"/>
                <w:color w:val="auto"/>
              </w:rPr>
            </w:pPr>
          </w:p>
        </w:tc>
        <w:tc>
          <w:tcPr>
            <w:tcW w:w="200" w:type="dxa"/>
            <w:vAlign w:val="bottom"/>
            <w:vMerge w:val="restart"/>
            <w:shd w:val="clear" w:color="auto" w:fill="737373"/>
          </w:tcPr>
          <w:p>
            <w:pPr>
              <w:jc w:val="right"/>
              <w:spacing w:after="0"/>
              <w:rPr>
                <w:sz w:val="20"/>
                <w:szCs w:val="20"/>
                <w:color w:val="auto"/>
              </w:rPr>
            </w:pPr>
            <w:r>
              <w:rPr>
                <w:rFonts w:ascii="Arial" w:cs="Arial" w:eastAsia="Arial" w:hAnsi="Arial"/>
                <w:sz w:val="10"/>
                <w:szCs w:val="10"/>
                <w:b w:val="1"/>
                <w:bCs w:val="1"/>
                <w:color w:val="FFFFFF"/>
                <w:w w:val="89"/>
                <w:shd w:val="clear" w:color="auto" w:fill="737373"/>
              </w:rPr>
              <w:t>21%</w:t>
            </w:r>
          </w:p>
        </w:tc>
        <w:tc>
          <w:tcPr>
            <w:tcW w:w="480" w:type="dxa"/>
            <w:vAlign w:val="bottom"/>
            <w:shd w:val="clear" w:color="auto" w:fill="737373"/>
          </w:tcPr>
          <w:p>
            <w:pPr>
              <w:spacing w:after="0"/>
              <w:rPr>
                <w:sz w:val="22"/>
                <w:szCs w:val="22"/>
                <w:color w:val="auto"/>
              </w:rPr>
            </w:pPr>
          </w:p>
        </w:tc>
        <w:tc>
          <w:tcPr>
            <w:tcW w:w="2020" w:type="dxa"/>
            <w:vAlign w:val="bottom"/>
            <w:tcBorders>
              <w:right w:val="single" w:sz="8" w:color="auto"/>
            </w:tcBorders>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shd w:val="clear" w:color="auto" w:fill="737373"/>
          </w:tcPr>
          <w:p>
            <w:pPr>
              <w:spacing w:after="0"/>
              <w:rPr>
                <w:sz w:val="5"/>
                <w:szCs w:val="5"/>
                <w:color w:val="auto"/>
              </w:rPr>
            </w:pPr>
          </w:p>
        </w:tc>
        <w:tc>
          <w:tcPr>
            <w:tcW w:w="200" w:type="dxa"/>
            <w:vAlign w:val="bottom"/>
            <w:vMerge w:val="continue"/>
            <w:shd w:val="clear" w:color="auto" w:fill="737373"/>
          </w:tcPr>
          <w:p>
            <w:pPr>
              <w:spacing w:after="0"/>
              <w:rPr>
                <w:sz w:val="5"/>
                <w:szCs w:val="5"/>
                <w:color w:val="auto"/>
              </w:rPr>
            </w:pPr>
          </w:p>
        </w:tc>
        <w:tc>
          <w:tcPr>
            <w:tcW w:w="480" w:type="dxa"/>
            <w:vAlign w:val="bottom"/>
            <w:shd w:val="clear" w:color="auto" w:fill="737373"/>
          </w:tcPr>
          <w:p>
            <w:pPr>
              <w:spacing w:after="0"/>
              <w:rPr>
                <w:sz w:val="5"/>
                <w:szCs w:val="5"/>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0"/>
                <w:szCs w:val="10"/>
                <w:b w:val="1"/>
                <w:bCs w:val="1"/>
                <w:color w:val="7C7C7C"/>
              </w:rPr>
              <w:t>Based Vesting</w:t>
            </w:r>
          </w:p>
        </w:tc>
        <w:tc>
          <w:tcPr>
            <w:tcW w:w="68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7C7C7C"/>
              </w:rPr>
              <w:t>63%</w:t>
            </w:r>
          </w:p>
        </w:tc>
        <w:tc>
          <w:tcPr>
            <w:tcW w:w="0" w:type="dxa"/>
            <w:vAlign w:val="bottom"/>
          </w:tcPr>
          <w:p>
            <w:pPr>
              <w:spacing w:after="0"/>
              <w:rPr>
                <w:sz w:val="1"/>
                <w:szCs w:val="1"/>
                <w:color w:val="auto"/>
              </w:rPr>
            </w:pPr>
          </w:p>
        </w:tc>
      </w:tr>
      <w:tr>
        <w:trPr>
          <w:trHeight w:val="70"/>
        </w:trPr>
        <w:tc>
          <w:tcPr>
            <w:tcW w:w="740" w:type="dxa"/>
            <w:vAlign w:val="bottom"/>
            <w:tcBorders>
              <w:right w:val="single" w:sz="8" w:color="auto"/>
            </w:tcBorders>
            <w:vMerge w:val="restart"/>
          </w:tcPr>
          <w:p>
            <w:pPr>
              <w:jc w:val="center"/>
              <w:ind w:right="396"/>
              <w:spacing w:after="0"/>
              <w:rPr>
                <w:sz w:val="20"/>
                <w:szCs w:val="20"/>
                <w:color w:val="auto"/>
              </w:rPr>
            </w:pPr>
            <w:r>
              <w:rPr>
                <w:rFonts w:ascii="Arial" w:cs="Arial" w:eastAsia="Arial" w:hAnsi="Arial"/>
                <w:sz w:val="10"/>
                <w:szCs w:val="10"/>
                <w:b w:val="1"/>
                <w:bCs w:val="1"/>
                <w:color w:val="7C7C7C"/>
                <w:w w:val="93"/>
              </w:rPr>
              <w:t>Long-</w:t>
            </w:r>
          </w:p>
        </w:tc>
        <w:tc>
          <w:tcPr>
            <w:tcW w:w="60" w:type="dxa"/>
            <w:vAlign w:val="bottom"/>
          </w:tcPr>
          <w:p>
            <w:pPr>
              <w:spacing w:after="0"/>
              <w:rPr>
                <w:sz w:val="6"/>
                <w:szCs w:val="6"/>
                <w:color w:val="auto"/>
              </w:rPr>
            </w:pPr>
          </w:p>
        </w:tc>
        <w:tc>
          <w:tcPr>
            <w:tcW w:w="480" w:type="dxa"/>
            <w:vAlign w:val="bottom"/>
            <w:shd w:val="clear" w:color="auto" w:fill="737373"/>
          </w:tcPr>
          <w:p>
            <w:pPr>
              <w:spacing w:after="0"/>
              <w:rPr>
                <w:sz w:val="6"/>
                <w:szCs w:val="6"/>
                <w:color w:val="auto"/>
              </w:rPr>
            </w:pPr>
          </w:p>
        </w:tc>
        <w:tc>
          <w:tcPr>
            <w:tcW w:w="200" w:type="dxa"/>
            <w:vAlign w:val="bottom"/>
            <w:shd w:val="clear" w:color="auto" w:fill="737373"/>
          </w:tcPr>
          <w:p>
            <w:pPr>
              <w:spacing w:after="0"/>
              <w:rPr>
                <w:sz w:val="6"/>
                <w:szCs w:val="6"/>
                <w:color w:val="auto"/>
              </w:rPr>
            </w:pPr>
          </w:p>
        </w:tc>
        <w:tc>
          <w:tcPr>
            <w:tcW w:w="480" w:type="dxa"/>
            <w:vAlign w:val="bottom"/>
            <w:shd w:val="clear" w:color="auto" w:fill="737373"/>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737373"/>
            </w:tcBorders>
            <w:shd w:val="clear" w:color="auto" w:fill="737373"/>
          </w:tcPr>
          <w:p>
            <w:pPr>
              <w:spacing w:after="0"/>
              <w:rPr>
                <w:sz w:val="11"/>
                <w:szCs w:val="11"/>
                <w:color w:val="auto"/>
              </w:rPr>
            </w:pPr>
          </w:p>
        </w:tc>
        <w:tc>
          <w:tcPr>
            <w:tcW w:w="200" w:type="dxa"/>
            <w:vAlign w:val="bottom"/>
            <w:tcBorders>
              <w:bottom w:val="single" w:sz="8" w:color="737373"/>
            </w:tcBorders>
            <w:shd w:val="clear" w:color="auto" w:fill="737373"/>
          </w:tcPr>
          <w:p>
            <w:pPr>
              <w:spacing w:after="0"/>
              <w:rPr>
                <w:sz w:val="11"/>
                <w:szCs w:val="11"/>
                <w:color w:val="auto"/>
              </w:rPr>
            </w:pPr>
          </w:p>
        </w:tc>
        <w:tc>
          <w:tcPr>
            <w:tcW w:w="480" w:type="dxa"/>
            <w:vAlign w:val="bottom"/>
            <w:tcBorders>
              <w:bottom w:val="single" w:sz="8" w:color="737373"/>
            </w:tcBorders>
            <w:shd w:val="clear" w:color="auto" w:fill="737373"/>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740" w:type="dxa"/>
            <w:vAlign w:val="bottom"/>
            <w:tcBorders>
              <w:right w:val="single" w:sz="8" w:color="auto"/>
            </w:tcBorders>
          </w:tcPr>
          <w:p>
            <w:pPr>
              <w:jc w:val="center"/>
              <w:ind w:right="396"/>
              <w:spacing w:after="0" w:line="46" w:lineRule="exact"/>
              <w:rPr>
                <w:sz w:val="20"/>
                <w:szCs w:val="20"/>
                <w:color w:val="auto"/>
              </w:rPr>
            </w:pPr>
            <w:r>
              <w:rPr>
                <w:rFonts w:ascii="Arial" w:cs="Arial" w:eastAsia="Arial" w:hAnsi="Arial"/>
                <w:sz w:val="5"/>
                <w:szCs w:val="5"/>
                <w:b w:val="1"/>
                <w:bCs w:val="1"/>
                <w:color w:val="7C7C7C"/>
              </w:rPr>
              <w:t>Term</w:t>
            </w:r>
          </w:p>
        </w:tc>
        <w:tc>
          <w:tcPr>
            <w:tcW w:w="60" w:type="dxa"/>
            <w:vAlign w:val="bottom"/>
          </w:tcPr>
          <w:p>
            <w:pPr>
              <w:spacing w:after="0"/>
              <w:rPr>
                <w:sz w:val="3"/>
                <w:szCs w:val="3"/>
                <w:color w:val="auto"/>
              </w:rPr>
            </w:pPr>
          </w:p>
        </w:tc>
        <w:tc>
          <w:tcPr>
            <w:tcW w:w="480" w:type="dxa"/>
            <w:vAlign w:val="bottom"/>
            <w:tcBorders>
              <w:bottom w:val="single" w:sz="8" w:color="D5D7D8"/>
            </w:tcBorders>
          </w:tcPr>
          <w:p>
            <w:pPr>
              <w:spacing w:after="0"/>
              <w:rPr>
                <w:sz w:val="3"/>
                <w:szCs w:val="3"/>
                <w:color w:val="auto"/>
              </w:rPr>
            </w:pPr>
          </w:p>
        </w:tc>
        <w:tc>
          <w:tcPr>
            <w:tcW w:w="200" w:type="dxa"/>
            <w:vAlign w:val="bottom"/>
            <w:tcBorders>
              <w:bottom w:val="single" w:sz="8" w:color="D5D7D8"/>
            </w:tcBorders>
          </w:tcPr>
          <w:p>
            <w:pPr>
              <w:spacing w:after="0"/>
              <w:rPr>
                <w:sz w:val="3"/>
                <w:szCs w:val="3"/>
                <w:color w:val="auto"/>
              </w:rPr>
            </w:pPr>
          </w:p>
        </w:tc>
        <w:tc>
          <w:tcPr>
            <w:tcW w:w="480" w:type="dxa"/>
            <w:vAlign w:val="bottom"/>
            <w:tcBorders>
              <w:bottom w:val="single" w:sz="8" w:color="D5D7D8"/>
            </w:tcBorders>
          </w:tcPr>
          <w:p>
            <w:pPr>
              <w:spacing w:after="0"/>
              <w:rPr>
                <w:sz w:val="3"/>
                <w:szCs w:val="3"/>
                <w:color w:val="auto"/>
              </w:rPr>
            </w:pPr>
          </w:p>
        </w:tc>
        <w:tc>
          <w:tcPr>
            <w:tcW w:w="202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740" w:type="dxa"/>
            <w:vAlign w:val="bottom"/>
            <w:tcBorders>
              <w:right w:val="single" w:sz="8" w:color="auto"/>
            </w:tcBorders>
          </w:tcPr>
          <w:p>
            <w:pPr>
              <w:jc w:val="center"/>
              <w:ind w:right="416"/>
              <w:spacing w:after="0"/>
              <w:rPr>
                <w:sz w:val="20"/>
                <w:szCs w:val="20"/>
                <w:color w:val="auto"/>
              </w:rPr>
            </w:pPr>
            <w:r>
              <w:rPr>
                <w:rFonts w:ascii="Arial" w:cs="Arial" w:eastAsia="Arial" w:hAnsi="Arial"/>
                <w:sz w:val="10"/>
                <w:szCs w:val="10"/>
                <w:b w:val="1"/>
                <w:bCs w:val="1"/>
                <w:color w:val="7C7C7C"/>
                <w:w w:val="99"/>
              </w:rPr>
              <w:t>42%</w:t>
            </w:r>
          </w:p>
        </w:tc>
        <w:tc>
          <w:tcPr>
            <w:tcW w:w="60" w:type="dxa"/>
            <w:vAlign w:val="bottom"/>
          </w:tcPr>
          <w:p>
            <w:pPr>
              <w:spacing w:after="0"/>
              <w:rPr>
                <w:sz w:val="11"/>
                <w:szCs w:val="11"/>
                <w:color w:val="auto"/>
              </w:rPr>
            </w:pPr>
          </w:p>
        </w:tc>
        <w:tc>
          <w:tcPr>
            <w:tcW w:w="480" w:type="dxa"/>
            <w:vAlign w:val="bottom"/>
            <w:shd w:val="clear" w:color="auto" w:fill="D5D7D8"/>
          </w:tcPr>
          <w:p>
            <w:pPr>
              <w:spacing w:after="0"/>
              <w:rPr>
                <w:sz w:val="11"/>
                <w:szCs w:val="11"/>
                <w:color w:val="auto"/>
              </w:rPr>
            </w:pPr>
          </w:p>
        </w:tc>
        <w:tc>
          <w:tcPr>
            <w:tcW w:w="200" w:type="dxa"/>
            <w:vAlign w:val="bottom"/>
            <w:shd w:val="clear" w:color="auto" w:fill="D5D7D8"/>
          </w:tcPr>
          <w:p>
            <w:pPr>
              <w:spacing w:after="0"/>
              <w:rPr>
                <w:sz w:val="11"/>
                <w:szCs w:val="11"/>
                <w:color w:val="auto"/>
              </w:rPr>
            </w:pPr>
          </w:p>
        </w:tc>
        <w:tc>
          <w:tcPr>
            <w:tcW w:w="480" w:type="dxa"/>
            <w:vAlign w:val="bottom"/>
            <w:shd w:val="clear" w:color="auto" w:fill="D5D7D8"/>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shd w:val="clear" w:color="auto" w:fill="D5D7D8"/>
          </w:tcPr>
          <w:p>
            <w:pPr>
              <w:spacing w:after="0"/>
              <w:rPr>
                <w:sz w:val="13"/>
                <w:szCs w:val="13"/>
                <w:color w:val="auto"/>
              </w:rPr>
            </w:pPr>
          </w:p>
        </w:tc>
        <w:tc>
          <w:tcPr>
            <w:tcW w:w="200" w:type="dxa"/>
            <w:vAlign w:val="bottom"/>
            <w:shd w:val="clear" w:color="auto" w:fill="D5D7D8"/>
          </w:tcPr>
          <w:p>
            <w:pPr>
              <w:jc w:val="right"/>
              <w:spacing w:after="0"/>
              <w:rPr>
                <w:sz w:val="20"/>
                <w:szCs w:val="20"/>
                <w:color w:val="auto"/>
              </w:rPr>
            </w:pPr>
            <w:r>
              <w:rPr>
                <w:rFonts w:ascii="Arial" w:cs="Arial" w:eastAsia="Arial" w:hAnsi="Arial"/>
                <w:sz w:val="10"/>
                <w:szCs w:val="10"/>
                <w:b w:val="1"/>
                <w:bCs w:val="1"/>
                <w:color w:val="05445E"/>
                <w:highlight w:val="lightGray"/>
                <w:w w:val="89"/>
              </w:rPr>
              <w:t>21%</w:t>
            </w:r>
          </w:p>
        </w:tc>
        <w:tc>
          <w:tcPr>
            <w:tcW w:w="480" w:type="dxa"/>
            <w:vAlign w:val="bottom"/>
            <w:shd w:val="clear" w:color="auto" w:fill="D5D7D8"/>
          </w:tcPr>
          <w:p>
            <w:pPr>
              <w:spacing w:after="0"/>
              <w:rPr>
                <w:sz w:val="13"/>
                <w:szCs w:val="1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0"/>
                <w:szCs w:val="10"/>
                <w:b w:val="1"/>
                <w:bCs w:val="1"/>
                <w:color w:val="7C7C7C"/>
              </w:rPr>
              <w:t>Performance Awards at Target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shd w:val="clear" w:color="auto" w:fill="D5D7D8"/>
          </w:tcPr>
          <w:p>
            <w:pPr>
              <w:spacing w:after="0"/>
              <w:rPr>
                <w:sz w:val="19"/>
                <w:szCs w:val="19"/>
                <w:color w:val="auto"/>
              </w:rPr>
            </w:pPr>
          </w:p>
        </w:tc>
        <w:tc>
          <w:tcPr>
            <w:tcW w:w="200" w:type="dxa"/>
            <w:vAlign w:val="bottom"/>
            <w:shd w:val="clear" w:color="auto" w:fill="D5D7D8"/>
          </w:tcPr>
          <w:p>
            <w:pPr>
              <w:spacing w:after="0"/>
              <w:rPr>
                <w:sz w:val="19"/>
                <w:szCs w:val="19"/>
                <w:color w:val="auto"/>
              </w:rPr>
            </w:pPr>
          </w:p>
        </w:tc>
        <w:tc>
          <w:tcPr>
            <w:tcW w:w="480" w:type="dxa"/>
            <w:vAlign w:val="bottom"/>
            <w:shd w:val="clear" w:color="auto" w:fill="D5D7D8"/>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type w:val="continuous"/>
        </w:sectPr>
      </w:pPr>
    </w:p>
    <w:bookmarkStart w:id="42" w:name="page43"/>
    <w:bookmarkEnd w:id="42"/>
    <w:p>
      <w:pPr>
        <w:jc w:val="both"/>
        <w:ind w:left="8"/>
        <w:spacing w:after="0" w:line="268" w:lineRule="auto"/>
        <w:rPr>
          <w:sz w:val="20"/>
          <w:szCs w:val="20"/>
          <w:color w:val="auto"/>
        </w:rPr>
      </w:pPr>
      <w:r>
        <w:rPr>
          <w:rFonts w:ascii="Arial" w:cs="Arial" w:eastAsia="Arial" w:hAnsi="Arial"/>
          <w:sz w:val="12"/>
          <w:szCs w:val="12"/>
          <w:b w:val="1"/>
          <w:bCs w:val="1"/>
          <w:u w:val="single" w:color="auto"/>
          <w:color w:val="auto"/>
        </w:rPr>
        <w:t>The Role of Shareholder Vote on Say on Pay Proposal</w:t>
      </w:r>
      <w:r>
        <w:rPr>
          <w:rFonts w:ascii="Arial" w:cs="Arial" w:eastAsia="Arial" w:hAnsi="Arial"/>
          <w:sz w:val="12"/>
          <w:szCs w:val="12"/>
          <w:color w:val="auto"/>
        </w:rPr>
        <w:t>. Our Company provides our shareholders with the opportunity to cast an advisory vote on our Say on Pay Proposal annually. At our Company’s 2025</w:t>
      </w:r>
      <w:r>
        <w:rPr>
          <w:rFonts w:ascii="Arial" w:cs="Arial" w:eastAsia="Arial" w:hAnsi="Arial"/>
          <w:sz w:val="12"/>
          <w:szCs w:val="12"/>
          <w:b w:val="1"/>
          <w:bCs w:val="1"/>
          <w:color w:val="auto"/>
        </w:rPr>
        <w:t xml:space="preserve"> </w:t>
      </w:r>
      <w:r>
        <w:rPr>
          <w:rFonts w:ascii="Arial" w:cs="Arial" w:eastAsia="Arial" w:hAnsi="Arial"/>
          <w:sz w:val="12"/>
          <w:szCs w:val="12"/>
          <w:color w:val="auto"/>
        </w:rPr>
        <w:t>Annual Meeting of Shareholders held on June 25, 2025, 91.92% of the votes cast on the Say on Pay Proposal were voted in favor of ratification of the proposal. The Committee did not make any changes to its programs in response to this vote. The Committee will consider the outcome of our Company’s Say on Pay Proposal when making future compensation decisions.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Overview of Primary Compensation Elements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provides an overview of the three primary compensation elements of our executive compensation program in fiscal 2026.</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280" w:type="dxa"/>
            <w:vAlign w:val="bottom"/>
            <w:gridSpan w:val="2"/>
          </w:tcPr>
          <w:p>
            <w:pPr>
              <w:ind w:left="700"/>
              <w:spacing w:after="0"/>
              <w:rPr>
                <w:sz w:val="20"/>
                <w:szCs w:val="20"/>
                <w:color w:val="auto"/>
              </w:rPr>
            </w:pPr>
            <w:r>
              <w:rPr>
                <w:rFonts w:ascii="Arial" w:cs="Arial" w:eastAsia="Arial" w:hAnsi="Arial"/>
                <w:sz w:val="11"/>
                <w:szCs w:val="11"/>
                <w:b w:val="1"/>
                <w:bCs w:val="1"/>
                <w:color w:val="05445E"/>
              </w:rPr>
              <w:t>Compensation</w:t>
            </w: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Arial" w:cs="Arial" w:eastAsia="Arial" w:hAnsi="Arial"/>
                <w:sz w:val="11"/>
                <w:szCs w:val="11"/>
                <w:b w:val="1"/>
                <w:bCs w:val="1"/>
                <w:color w:val="05445E"/>
                <w:w w:val="97"/>
              </w:rPr>
              <w:t>How Impacted by</w:t>
            </w:r>
          </w:p>
        </w:tc>
      </w:tr>
      <w:tr>
        <w:trPr>
          <w:trHeight w:val="162"/>
        </w:trPr>
        <w:tc>
          <w:tcPr>
            <w:tcW w:w="2200" w:type="dxa"/>
            <w:vAlign w:val="bottom"/>
            <w:tcBorders>
              <w:bottom w:val="single" w:sz="8" w:color="auto"/>
            </w:tcBorders>
          </w:tcPr>
          <w:p>
            <w:pPr>
              <w:ind w:left="880"/>
              <w:spacing w:after="0"/>
              <w:rPr>
                <w:sz w:val="20"/>
                <w:szCs w:val="20"/>
                <w:color w:val="auto"/>
              </w:rPr>
            </w:pPr>
            <w:r>
              <w:rPr>
                <w:rFonts w:ascii="Arial" w:cs="Arial" w:eastAsia="Arial" w:hAnsi="Arial"/>
                <w:sz w:val="11"/>
                <w:szCs w:val="11"/>
                <w:b w:val="1"/>
                <w:bCs w:val="1"/>
                <w:color w:val="05445E"/>
              </w:rPr>
              <w:t>Element</w:t>
            </w:r>
          </w:p>
        </w:tc>
        <w:tc>
          <w:tcPr>
            <w:tcW w:w="80" w:type="dxa"/>
            <w:vAlign w:val="bottom"/>
            <w:tcBorders>
              <w:bottom w:val="single" w:sz="8" w:color="D9D9D9"/>
            </w:tcBorders>
          </w:tcPr>
          <w:p>
            <w:pPr>
              <w:spacing w:after="0"/>
              <w:rPr>
                <w:sz w:val="14"/>
                <w:szCs w:val="14"/>
                <w:color w:val="auto"/>
              </w:rPr>
            </w:pPr>
          </w:p>
        </w:tc>
        <w:tc>
          <w:tcPr>
            <w:tcW w:w="2140" w:type="dxa"/>
            <w:vAlign w:val="bottom"/>
            <w:tcBorders>
              <w:bottom w:val="single" w:sz="8" w:color="auto"/>
            </w:tcBorders>
          </w:tcPr>
          <w:p>
            <w:pPr>
              <w:ind w:left="820"/>
              <w:spacing w:after="0"/>
              <w:rPr>
                <w:sz w:val="20"/>
                <w:szCs w:val="20"/>
                <w:color w:val="auto"/>
              </w:rPr>
            </w:pPr>
            <w:r>
              <w:rPr>
                <w:rFonts w:ascii="Arial" w:cs="Arial" w:eastAsia="Arial" w:hAnsi="Arial"/>
                <w:sz w:val="11"/>
                <w:szCs w:val="11"/>
                <w:b w:val="1"/>
                <w:bCs w:val="1"/>
                <w:color w:val="05445E"/>
              </w:rPr>
              <w:t>Objective</w:t>
            </w:r>
          </w:p>
        </w:tc>
        <w:tc>
          <w:tcPr>
            <w:tcW w:w="80" w:type="dxa"/>
            <w:vAlign w:val="bottom"/>
            <w:tcBorders>
              <w:bottom w:val="single" w:sz="8" w:color="D9D9D9"/>
            </w:tcBorders>
          </w:tcPr>
          <w:p>
            <w:pPr>
              <w:spacing w:after="0"/>
              <w:rPr>
                <w:sz w:val="14"/>
                <w:szCs w:val="14"/>
                <w:color w:val="auto"/>
              </w:rPr>
            </w:pPr>
          </w:p>
        </w:tc>
        <w:tc>
          <w:tcPr>
            <w:tcW w:w="214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05445E"/>
              </w:rPr>
              <w:t>How Determined</w:t>
            </w:r>
          </w:p>
        </w:tc>
        <w:tc>
          <w:tcPr>
            <w:tcW w:w="80" w:type="dxa"/>
            <w:vAlign w:val="bottom"/>
            <w:tcBorders>
              <w:bottom w:val="single" w:sz="8" w:color="D9D9D9"/>
            </w:tcBorders>
          </w:tcPr>
          <w:p>
            <w:pPr>
              <w:spacing w:after="0"/>
              <w:rPr>
                <w:sz w:val="14"/>
                <w:szCs w:val="14"/>
                <w:color w:val="auto"/>
              </w:rPr>
            </w:pPr>
          </w:p>
        </w:tc>
        <w:tc>
          <w:tcPr>
            <w:tcW w:w="214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05445E"/>
              </w:rPr>
              <w:t>Market Positioning</w:t>
            </w:r>
            <w:r>
              <w:rPr>
                <w:rFonts w:ascii="Arial" w:cs="Arial" w:eastAsia="Arial" w:hAnsi="Arial"/>
                <w:sz w:val="14"/>
                <w:szCs w:val="14"/>
                <w:b w:val="1"/>
                <w:bCs w:val="1"/>
                <w:color w:val="05445E"/>
                <w:vertAlign w:val="superscript"/>
              </w:rPr>
              <w:t>(1)</w:t>
            </w:r>
          </w:p>
        </w:tc>
        <w:tc>
          <w:tcPr>
            <w:tcW w:w="80" w:type="dxa"/>
            <w:vAlign w:val="bottom"/>
            <w:tcBorders>
              <w:bottom w:val="single" w:sz="8" w:color="D9D9D9"/>
            </w:tcBorders>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98"/>
              </w:rPr>
              <w:t>Performance</w:t>
            </w:r>
          </w:p>
        </w:tc>
      </w:tr>
      <w:tr>
        <w:trPr>
          <w:trHeight w:val="124"/>
        </w:trPr>
        <w:tc>
          <w:tcPr>
            <w:tcW w:w="2280" w:type="dxa"/>
            <w:vAlign w:val="bottom"/>
            <w:gridSpan w:val="2"/>
            <w:shd w:val="clear" w:color="auto" w:fill="D9D9D9"/>
          </w:tcPr>
          <w:p>
            <w:pPr>
              <w:spacing w:after="0" w:line="124" w:lineRule="exact"/>
              <w:rPr>
                <w:sz w:val="20"/>
                <w:szCs w:val="20"/>
                <w:color w:val="auto"/>
              </w:rPr>
            </w:pPr>
            <w:r>
              <w:rPr>
                <w:rFonts w:ascii="Arial" w:cs="Arial" w:eastAsia="Arial" w:hAnsi="Arial"/>
                <w:sz w:val="11"/>
                <w:szCs w:val="11"/>
                <w:color w:val="auto"/>
              </w:rPr>
              <w:t>Base Salary and Benefits</w:t>
            </w:r>
          </w:p>
        </w:tc>
        <w:tc>
          <w:tcPr>
            <w:tcW w:w="2220" w:type="dxa"/>
            <w:vAlign w:val="bottom"/>
            <w:gridSpan w:val="2"/>
            <w:shd w:val="clear" w:color="auto" w:fill="D9D9D9"/>
          </w:tcPr>
          <w:p>
            <w:pPr>
              <w:ind w:left="20"/>
              <w:spacing w:after="0" w:line="124" w:lineRule="exact"/>
              <w:rPr>
                <w:sz w:val="20"/>
                <w:szCs w:val="20"/>
                <w:color w:val="auto"/>
              </w:rPr>
            </w:pPr>
            <w:r>
              <w:rPr>
                <w:rFonts w:ascii="Arial" w:cs="Arial" w:eastAsia="Arial" w:hAnsi="Arial"/>
                <w:sz w:val="11"/>
                <w:szCs w:val="11"/>
                <w:color w:val="auto"/>
              </w:rPr>
              <w:t>Attract and retain executive officers through</w:t>
            </w:r>
          </w:p>
        </w:tc>
        <w:tc>
          <w:tcPr>
            <w:tcW w:w="2220" w:type="dxa"/>
            <w:vAlign w:val="bottom"/>
            <w:gridSpan w:val="2"/>
            <w:shd w:val="clear" w:color="auto" w:fill="D9D9D9"/>
          </w:tcPr>
          <w:p>
            <w:pPr>
              <w:ind w:left="20"/>
              <w:spacing w:after="0" w:line="124" w:lineRule="exact"/>
              <w:rPr>
                <w:sz w:val="20"/>
                <w:szCs w:val="20"/>
                <w:color w:val="auto"/>
              </w:rPr>
            </w:pPr>
            <w:r>
              <w:rPr>
                <w:rFonts w:ascii="Arial" w:cs="Arial" w:eastAsia="Arial" w:hAnsi="Arial"/>
                <w:sz w:val="11"/>
                <w:szCs w:val="11"/>
                <w:color w:val="auto"/>
              </w:rPr>
              <w:t>Individual performance, experience, tenure,</w:t>
            </w:r>
          </w:p>
        </w:tc>
        <w:tc>
          <w:tcPr>
            <w:tcW w:w="2220" w:type="dxa"/>
            <w:vAlign w:val="bottom"/>
            <w:gridSpan w:val="2"/>
            <w:shd w:val="clear" w:color="auto" w:fill="D9D9D9"/>
          </w:tcPr>
          <w:p>
            <w:pPr>
              <w:ind w:left="20"/>
              <w:spacing w:after="0" w:line="125" w:lineRule="exact"/>
              <w:rPr>
                <w:sz w:val="20"/>
                <w:szCs w:val="20"/>
                <w:color w:val="auto"/>
              </w:rPr>
            </w:pPr>
            <w:r>
              <w:rPr>
                <w:rFonts w:ascii="Arial" w:cs="Arial" w:eastAsia="Arial" w:hAnsi="Arial"/>
                <w:sz w:val="11"/>
                <w:szCs w:val="11"/>
                <w:color w:val="auto"/>
              </w:rPr>
              <w:t>Targeted to be at approximately the 50</w:t>
            </w:r>
            <w:r>
              <w:rPr>
                <w:rFonts w:ascii="Arial" w:cs="Arial" w:eastAsia="Arial" w:hAnsi="Arial"/>
                <w:sz w:val="14"/>
                <w:szCs w:val="14"/>
                <w:color w:val="auto"/>
                <w:vertAlign w:val="superscript"/>
              </w:rPr>
              <w:t>th</w:t>
            </w:r>
          </w:p>
        </w:tc>
        <w:tc>
          <w:tcPr>
            <w:tcW w:w="2140" w:type="dxa"/>
            <w:vAlign w:val="bottom"/>
            <w:shd w:val="clear" w:color="auto" w:fill="D9D9D9"/>
          </w:tcPr>
          <w:p>
            <w:pPr>
              <w:ind w:left="20"/>
              <w:spacing w:after="0" w:line="124" w:lineRule="exact"/>
              <w:rPr>
                <w:sz w:val="20"/>
                <w:szCs w:val="20"/>
                <w:color w:val="auto"/>
              </w:rPr>
            </w:pPr>
            <w:r>
              <w:rPr>
                <w:rFonts w:ascii="Arial" w:cs="Arial" w:eastAsia="Arial" w:hAnsi="Arial"/>
                <w:sz w:val="11"/>
                <w:szCs w:val="11"/>
                <w:color w:val="auto"/>
              </w:rPr>
              <w:t>Adjusted based on factors including</w:t>
            </w:r>
          </w:p>
        </w:tc>
      </w:tr>
      <w:tr>
        <w:trPr>
          <w:trHeight w:val="135"/>
        </w:trPr>
        <w:tc>
          <w:tcPr>
            <w:tcW w:w="220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competitive pay and benefit programs.</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competitive market data and trends, internal</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percentile for comparable roles at peer</w:t>
            </w:r>
          </w:p>
        </w:tc>
        <w:tc>
          <w:tcPr>
            <w:tcW w:w="2140" w:type="dxa"/>
            <w:vAlign w:val="bottom"/>
            <w:shd w:val="clear" w:color="auto" w:fill="D9D9D9"/>
          </w:tcPr>
          <w:p>
            <w:pPr>
              <w:ind w:left="20"/>
              <w:spacing w:after="0"/>
              <w:rPr>
                <w:sz w:val="20"/>
                <w:szCs w:val="20"/>
                <w:color w:val="auto"/>
              </w:rPr>
            </w:pPr>
            <w:r>
              <w:rPr>
                <w:rFonts w:ascii="Arial" w:cs="Arial" w:eastAsia="Arial" w:hAnsi="Arial"/>
                <w:sz w:val="11"/>
                <w:szCs w:val="11"/>
                <w:color w:val="auto"/>
              </w:rPr>
              <w:t>individual performance.</w:t>
            </w:r>
          </w:p>
        </w:tc>
      </w:tr>
      <w:tr>
        <w:trPr>
          <w:trHeight w:val="153"/>
        </w:trPr>
        <w:tc>
          <w:tcPr>
            <w:tcW w:w="220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equity and executive potential.</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companies.</w:t>
            </w:r>
          </w:p>
        </w:tc>
        <w:tc>
          <w:tcPr>
            <w:tcW w:w="2140" w:type="dxa"/>
            <w:vAlign w:val="bottom"/>
            <w:shd w:val="clear" w:color="auto" w:fill="D9D9D9"/>
          </w:tcPr>
          <w:p>
            <w:pPr>
              <w:spacing w:after="0"/>
              <w:rPr>
                <w:sz w:val="13"/>
                <w:szCs w:val="13"/>
                <w:color w:val="auto"/>
              </w:rPr>
            </w:pPr>
          </w:p>
        </w:tc>
      </w:tr>
    </w:tbl>
    <w:p>
      <w:pPr>
        <w:spacing w:after="0" w:line="9" w:lineRule="exact"/>
        <w:rPr>
          <w:sz w:val="20"/>
          <w:szCs w:val="20"/>
          <w:color w:val="auto"/>
        </w:rPr>
      </w:pPr>
    </w:p>
    <w:p>
      <w:pPr>
        <w:sectPr>
          <w:pgSz w:w="11900" w:h="16838" w:orient="portrait"/>
          <w:cols w:equalWidth="0" w:num="1">
            <w:col w:w="11308"/>
          </w:cols>
          <w:pgMar w:left="292" w:top="667" w:right="299" w:bottom="1440" w:gutter="0" w:footer="0" w:header="0"/>
        </w:sectPr>
      </w:pPr>
    </w:p>
    <w:p>
      <w:pPr>
        <w:ind w:left="8"/>
        <w:spacing w:after="0"/>
        <w:tabs>
          <w:tab w:leader="none" w:pos="2288" w:val="left"/>
        </w:tabs>
        <w:rPr>
          <w:sz w:val="20"/>
          <w:szCs w:val="20"/>
          <w:color w:val="auto"/>
        </w:rPr>
      </w:pPr>
      <w:r>
        <w:rPr>
          <w:rFonts w:ascii="Arial" w:cs="Arial" w:eastAsia="Arial" w:hAnsi="Arial"/>
          <w:sz w:val="11"/>
          <w:szCs w:val="11"/>
          <w:color w:val="auto"/>
        </w:rPr>
        <w:t>Short-Term Cash Incentive Compensation</w:t>
      </w:r>
      <w:r>
        <w:rPr>
          <w:sz w:val="20"/>
          <w:szCs w:val="20"/>
          <w:color w:val="auto"/>
        </w:rPr>
        <w:tab/>
      </w:r>
      <w:r>
        <w:rPr>
          <w:rFonts w:ascii="Arial" w:cs="Arial" w:eastAsia="Arial" w:hAnsi="Arial"/>
          <w:sz w:val="10"/>
          <w:szCs w:val="10"/>
          <w:color w:val="auto"/>
        </w:rPr>
        <w:t>Create an incentive for the achievement of</w:t>
      </w:r>
    </w:p>
    <w:p>
      <w:pPr>
        <w:spacing w:after="0" w:line="10" w:lineRule="exact"/>
        <w:rPr>
          <w:sz w:val="20"/>
          <w:szCs w:val="20"/>
          <w:color w:val="auto"/>
        </w:rPr>
      </w:pPr>
    </w:p>
    <w:p>
      <w:pPr>
        <w:ind w:left="8"/>
        <w:spacing w:after="0"/>
        <w:tabs>
          <w:tab w:leader="none" w:pos="2288" w:val="left"/>
        </w:tabs>
        <w:rPr>
          <w:sz w:val="20"/>
          <w:szCs w:val="20"/>
          <w:color w:val="auto"/>
        </w:rPr>
      </w:pPr>
      <w:r>
        <w:rPr>
          <w:rFonts w:ascii="Arial" w:cs="Arial" w:eastAsia="Arial" w:hAnsi="Arial"/>
          <w:sz w:val="11"/>
          <w:szCs w:val="11"/>
          <w:color w:val="auto"/>
        </w:rPr>
        <w:t>("Short-Term Incentive")</w:t>
      </w:r>
      <w:r>
        <w:rPr>
          <w:sz w:val="20"/>
          <w:szCs w:val="20"/>
          <w:color w:val="auto"/>
        </w:rPr>
        <w:tab/>
      </w:r>
      <w:r>
        <w:rPr>
          <w:rFonts w:ascii="Arial" w:cs="Arial" w:eastAsia="Arial" w:hAnsi="Arial"/>
          <w:sz w:val="10"/>
          <w:szCs w:val="10"/>
          <w:color w:val="auto"/>
        </w:rPr>
        <w:t>pre-defined annual business objectives.</w:t>
      </w:r>
    </w:p>
    <w:p>
      <w:pPr>
        <w:spacing w:after="0" w:line="20" w:lineRule="exact"/>
        <w:rPr>
          <w:sz w:val="20"/>
          <w:szCs w:val="20"/>
          <w:color w:val="auto"/>
        </w:rPr>
      </w:pPr>
      <w:r>
        <w:rPr>
          <w:sz w:val="20"/>
          <w:szCs w:val="20"/>
          <w:color w:val="auto"/>
        </w:rPr>
        <w:br w:type="column"/>
      </w:r>
    </w:p>
    <w:p>
      <w:pPr>
        <w:jc w:val="both"/>
        <w:spacing w:after="0" w:line="318" w:lineRule="auto"/>
        <w:rPr>
          <w:sz w:val="20"/>
          <w:szCs w:val="20"/>
          <w:color w:val="auto"/>
        </w:rPr>
      </w:pPr>
      <w:r>
        <w:rPr>
          <w:rFonts w:ascii="Arial" w:cs="Arial" w:eastAsia="Arial" w:hAnsi="Arial"/>
          <w:sz w:val="10"/>
          <w:szCs w:val="10"/>
          <w:color w:val="auto"/>
        </w:rPr>
        <w:t>For target bonus percentages – competitive market data and trends and internal equity.</w:t>
      </w:r>
    </w:p>
    <w:p>
      <w:pPr>
        <w:spacing w:after="0" w:line="118" w:lineRule="exact"/>
        <w:rPr>
          <w:sz w:val="20"/>
          <w:szCs w:val="20"/>
          <w:color w:val="auto"/>
        </w:rPr>
      </w:pPr>
    </w:p>
    <w:p>
      <w:pPr>
        <w:ind w:right="20"/>
        <w:spacing w:after="0" w:line="262" w:lineRule="auto"/>
        <w:rPr>
          <w:sz w:val="20"/>
          <w:szCs w:val="20"/>
          <w:color w:val="auto"/>
        </w:rPr>
      </w:pPr>
      <w:r>
        <w:rPr>
          <w:rFonts w:ascii="Arial" w:cs="Arial" w:eastAsia="Arial" w:hAnsi="Arial"/>
          <w:sz w:val="11"/>
          <w:szCs w:val="11"/>
          <w:color w:val="auto"/>
        </w:rPr>
        <w:t>For actual bonus payouts – performance against pre-established criteria in the short-term cash incentive plan.</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1"/>
          <w:szCs w:val="11"/>
          <w:color w:val="auto"/>
        </w:rPr>
        <w:t>Targeted to be at approximately the 50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percentile for target total cash compensation.</w:t>
      </w:r>
    </w:p>
    <w:p>
      <w:pPr>
        <w:spacing w:after="0" w:line="20" w:lineRule="exact"/>
        <w:rPr>
          <w:sz w:val="20"/>
          <w:szCs w:val="20"/>
          <w:color w:val="auto"/>
        </w:rPr>
      </w:pPr>
      <w:r>
        <w:rPr>
          <w:sz w:val="20"/>
          <w:szCs w:val="20"/>
          <w:color w:val="auto"/>
        </w:rPr>
        <w:br w:type="column"/>
      </w:r>
    </w:p>
    <w:p>
      <w:pPr>
        <w:ind w:right="300"/>
        <w:spacing w:after="0" w:line="262" w:lineRule="auto"/>
        <w:rPr>
          <w:sz w:val="20"/>
          <w:szCs w:val="20"/>
          <w:color w:val="auto"/>
        </w:rPr>
      </w:pPr>
      <w:r>
        <w:rPr>
          <w:rFonts w:ascii="Arial" w:cs="Arial" w:eastAsia="Arial" w:hAnsi="Arial"/>
          <w:sz w:val="11"/>
          <w:szCs w:val="11"/>
          <w:color w:val="auto"/>
        </w:rPr>
        <w:t>Payout dependent on achievement of one-year Company financial performance against pre-established goals.</w:t>
      </w:r>
    </w:p>
    <w:p>
      <w:pPr>
        <w:spacing w:after="0" w:line="559" w:lineRule="exact"/>
        <w:rPr>
          <w:sz w:val="20"/>
          <w:szCs w:val="20"/>
          <w:color w:val="auto"/>
        </w:rPr>
      </w:pPr>
    </w:p>
    <w:p>
      <w:pPr>
        <w:sectPr>
          <w:pgSz w:w="11900" w:h="16838" w:orient="portrait"/>
          <w:cols w:equalWidth="0" w:num="4">
            <w:col w:w="4328" w:space="200"/>
            <w:col w:w="2080" w:space="140"/>
            <w:col w:w="1900" w:space="320"/>
            <w:col w:w="2340"/>
          </w:cols>
          <w:pgMar w:left="292" w:top="667" w:right="299" w:bottom="1440" w:gutter="0" w:footer="0" w:header="0"/>
          <w:type w:val="continuous"/>
        </w:sectPr>
      </w:pPr>
    </w:p>
    <w:tbl>
      <w:tblPr>
        <w:tblLayout w:type="fixed"/>
        <w:tblInd w:w="8" w:type="dxa"/>
        <w:tblCellMar>
          <w:top w:w="0" w:type="dxa"/>
          <w:left w:w="0" w:type="dxa"/>
          <w:bottom w:w="0" w:type="dxa"/>
          <w:right w:w="0" w:type="dxa"/>
        </w:tblCellMar>
      </w:tblPr>
      <w:tr>
        <w:trPr>
          <w:trHeight w:val="161"/>
        </w:trPr>
        <w:tc>
          <w:tcPr>
            <w:tcW w:w="2200" w:type="dxa"/>
            <w:vAlign w:val="bottom"/>
            <w:shd w:val="clear" w:color="auto" w:fill="D9D9D9"/>
          </w:tcPr>
          <w:p>
            <w:pPr>
              <w:spacing w:after="0"/>
              <w:rPr>
                <w:sz w:val="20"/>
                <w:szCs w:val="20"/>
                <w:color w:val="auto"/>
              </w:rPr>
            </w:pPr>
            <w:r>
              <w:rPr>
                <w:rFonts w:ascii="Arial" w:cs="Arial" w:eastAsia="Arial" w:hAnsi="Arial"/>
                <w:sz w:val="11"/>
                <w:szCs w:val="11"/>
                <w:color w:val="auto"/>
              </w:rPr>
              <w:t>Long-Term Incentive Compensation</w:t>
            </w:r>
          </w:p>
        </w:tc>
        <w:tc>
          <w:tcPr>
            <w:tcW w:w="2240" w:type="dxa"/>
            <w:vAlign w:val="bottom"/>
            <w:shd w:val="clear" w:color="auto" w:fill="D9D9D9"/>
          </w:tcPr>
          <w:p>
            <w:pPr>
              <w:ind w:left="100"/>
              <w:spacing w:after="0"/>
              <w:rPr>
                <w:sz w:val="20"/>
                <w:szCs w:val="20"/>
                <w:color w:val="auto"/>
              </w:rPr>
            </w:pPr>
            <w:r>
              <w:rPr>
                <w:rFonts w:ascii="Arial" w:cs="Arial" w:eastAsia="Arial" w:hAnsi="Arial"/>
                <w:sz w:val="11"/>
                <w:szCs w:val="11"/>
                <w:color w:val="auto"/>
              </w:rPr>
              <w:t>Align the interests of executive officers with</w:t>
            </w:r>
          </w:p>
        </w:tc>
        <w:tc>
          <w:tcPr>
            <w:tcW w:w="222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Annual Awards – Individual performance,</w:t>
            </w:r>
          </w:p>
        </w:tc>
        <w:tc>
          <w:tcPr>
            <w:tcW w:w="2140" w:type="dxa"/>
            <w:vAlign w:val="bottom"/>
            <w:shd w:val="clear" w:color="auto" w:fill="D9D9D9"/>
          </w:tcPr>
          <w:p>
            <w:pPr>
              <w:ind w:left="80"/>
              <w:spacing w:after="0"/>
              <w:rPr>
                <w:sz w:val="20"/>
                <w:szCs w:val="20"/>
                <w:color w:val="auto"/>
              </w:rPr>
            </w:pPr>
            <w:r>
              <w:rPr>
                <w:rFonts w:ascii="Arial" w:cs="Arial" w:eastAsia="Arial" w:hAnsi="Arial"/>
                <w:sz w:val="11"/>
                <w:szCs w:val="11"/>
                <w:color w:val="auto"/>
              </w:rPr>
              <w:t>Targeted to be at approximately the 50</w:t>
            </w:r>
            <w:r>
              <w:rPr>
                <w:rFonts w:ascii="Arial" w:cs="Arial" w:eastAsia="Arial" w:hAnsi="Arial"/>
                <w:sz w:val="14"/>
                <w:szCs w:val="14"/>
                <w:color w:val="auto"/>
                <w:vertAlign w:val="superscript"/>
              </w:rPr>
              <w:t>th</w:t>
            </w:r>
          </w:p>
        </w:tc>
        <w:tc>
          <w:tcPr>
            <w:tcW w:w="2280" w:type="dxa"/>
            <w:vAlign w:val="bottom"/>
            <w:shd w:val="clear" w:color="auto" w:fill="D9D9D9"/>
          </w:tcPr>
          <w:p>
            <w:pPr>
              <w:ind w:left="160"/>
              <w:spacing w:after="0"/>
              <w:rPr>
                <w:sz w:val="20"/>
                <w:szCs w:val="20"/>
                <w:color w:val="auto"/>
              </w:rPr>
            </w:pPr>
            <w:r>
              <w:rPr>
                <w:rFonts w:ascii="Arial" w:cs="Arial" w:eastAsia="Arial" w:hAnsi="Arial"/>
                <w:sz w:val="11"/>
                <w:szCs w:val="11"/>
                <w:color w:val="auto"/>
              </w:rPr>
              <w:t>Performance award payouts vary based on</w:t>
            </w:r>
          </w:p>
        </w:tc>
        <w:tc>
          <w:tcPr>
            <w:tcW w:w="0" w:type="dxa"/>
            <w:vAlign w:val="bottom"/>
          </w:tcPr>
          <w:p>
            <w:pPr>
              <w:spacing w:after="0"/>
              <w:rPr>
                <w:sz w:val="1"/>
                <w:szCs w:val="1"/>
                <w:color w:val="auto"/>
              </w:rPr>
            </w:pPr>
          </w:p>
        </w:tc>
      </w:tr>
      <w:tr>
        <w:trPr>
          <w:trHeight w:val="72"/>
        </w:trPr>
        <w:tc>
          <w:tcPr>
            <w:tcW w:w="2200" w:type="dxa"/>
            <w:vAlign w:val="bottom"/>
            <w:vMerge w:val="restart"/>
            <w:shd w:val="clear" w:color="auto" w:fill="D9D9D9"/>
          </w:tcPr>
          <w:p>
            <w:pPr>
              <w:spacing w:after="0"/>
              <w:rPr>
                <w:sz w:val="20"/>
                <w:szCs w:val="20"/>
                <w:color w:val="auto"/>
              </w:rPr>
            </w:pPr>
            <w:r>
              <w:rPr>
                <w:rFonts w:ascii="Arial" w:cs="Arial" w:eastAsia="Arial" w:hAnsi="Arial"/>
                <w:sz w:val="11"/>
                <w:szCs w:val="11"/>
                <w:color w:val="auto"/>
              </w:rPr>
              <w:t>•  Restricted Stock (40% for Mr. Silberhorn,</w:t>
            </w:r>
          </w:p>
        </w:tc>
        <w:tc>
          <w:tcPr>
            <w:tcW w:w="224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shareholders and focus on sustained</w:t>
            </w:r>
          </w:p>
        </w:tc>
        <w:tc>
          <w:tcPr>
            <w:tcW w:w="2220" w:type="dxa"/>
            <w:vAlign w:val="bottom"/>
            <w:vMerge w:val="continue"/>
            <w:shd w:val="clear" w:color="auto" w:fill="D9D9D9"/>
          </w:tcPr>
          <w:p>
            <w:pPr>
              <w:spacing w:after="0"/>
              <w:rPr>
                <w:sz w:val="6"/>
                <w:szCs w:val="6"/>
                <w:color w:val="auto"/>
              </w:rPr>
            </w:pPr>
          </w:p>
        </w:tc>
        <w:tc>
          <w:tcPr>
            <w:tcW w:w="214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percentile for target performance.</w:t>
            </w:r>
          </w:p>
        </w:tc>
        <w:tc>
          <w:tcPr>
            <w:tcW w:w="228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company performance against pre-</w:t>
            </w:r>
          </w:p>
        </w:tc>
        <w:tc>
          <w:tcPr>
            <w:tcW w:w="0" w:type="dxa"/>
            <w:vAlign w:val="bottom"/>
          </w:tcPr>
          <w:p>
            <w:pPr>
              <w:spacing w:after="0"/>
              <w:rPr>
                <w:sz w:val="1"/>
                <w:szCs w:val="1"/>
                <w:color w:val="auto"/>
              </w:rPr>
            </w:pPr>
          </w:p>
        </w:tc>
      </w:tr>
      <w:tr>
        <w:trPr>
          <w:trHeight w:val="63"/>
        </w:trPr>
        <w:tc>
          <w:tcPr>
            <w:tcW w:w="2200" w:type="dxa"/>
            <w:vAlign w:val="bottom"/>
            <w:vMerge w:val="continue"/>
            <w:shd w:val="clear" w:color="auto" w:fill="D9D9D9"/>
          </w:tcPr>
          <w:p>
            <w:pPr>
              <w:spacing w:after="0"/>
              <w:rPr>
                <w:sz w:val="5"/>
                <w:szCs w:val="5"/>
                <w:color w:val="auto"/>
              </w:rPr>
            </w:pPr>
          </w:p>
        </w:tc>
        <w:tc>
          <w:tcPr>
            <w:tcW w:w="2240" w:type="dxa"/>
            <w:vAlign w:val="bottom"/>
            <w:vMerge w:val="continue"/>
            <w:shd w:val="clear" w:color="auto" w:fill="D9D9D9"/>
          </w:tcPr>
          <w:p>
            <w:pPr>
              <w:spacing w:after="0"/>
              <w:rPr>
                <w:sz w:val="5"/>
                <w:szCs w:val="5"/>
                <w:color w:val="auto"/>
              </w:rPr>
            </w:pPr>
          </w:p>
        </w:tc>
        <w:tc>
          <w:tcPr>
            <w:tcW w:w="222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company performance, market data and</w:t>
            </w:r>
          </w:p>
        </w:tc>
        <w:tc>
          <w:tcPr>
            <w:tcW w:w="2140" w:type="dxa"/>
            <w:vAlign w:val="bottom"/>
            <w:vMerge w:val="continue"/>
            <w:shd w:val="clear" w:color="auto" w:fill="D9D9D9"/>
          </w:tcPr>
          <w:p>
            <w:pPr>
              <w:spacing w:after="0"/>
              <w:rPr>
                <w:sz w:val="5"/>
                <w:szCs w:val="5"/>
                <w:color w:val="auto"/>
              </w:rPr>
            </w:pPr>
          </w:p>
        </w:tc>
        <w:tc>
          <w:tcPr>
            <w:tcW w:w="2280" w:type="dxa"/>
            <w:vAlign w:val="bottom"/>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20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and 50% for other named executives);</w:t>
            </w:r>
          </w:p>
        </w:tc>
        <w:tc>
          <w:tcPr>
            <w:tcW w:w="224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performance, entrepreneurial style and</w:t>
            </w:r>
          </w:p>
        </w:tc>
        <w:tc>
          <w:tcPr>
            <w:tcW w:w="2220" w:type="dxa"/>
            <w:vAlign w:val="bottom"/>
            <w:vMerge w:val="continue"/>
            <w:shd w:val="clear" w:color="auto" w:fill="D9D9D9"/>
          </w:tcPr>
          <w:p>
            <w:pPr>
              <w:spacing w:after="0"/>
              <w:rPr>
                <w:sz w:val="6"/>
                <w:szCs w:val="6"/>
                <w:color w:val="auto"/>
              </w:rPr>
            </w:pPr>
          </w:p>
        </w:tc>
        <w:tc>
          <w:tcPr>
            <w:tcW w:w="2140" w:type="dxa"/>
            <w:vAlign w:val="bottom"/>
            <w:shd w:val="clear" w:color="auto" w:fill="D9D9D9"/>
          </w:tcPr>
          <w:p>
            <w:pPr>
              <w:spacing w:after="0"/>
              <w:rPr>
                <w:sz w:val="6"/>
                <w:szCs w:val="6"/>
                <w:color w:val="auto"/>
              </w:rPr>
            </w:pPr>
          </w:p>
        </w:tc>
        <w:tc>
          <w:tcPr>
            <w:tcW w:w="228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established goals; the restricted stock</w:t>
            </w:r>
          </w:p>
        </w:tc>
        <w:tc>
          <w:tcPr>
            <w:tcW w:w="0" w:type="dxa"/>
            <w:vAlign w:val="bottom"/>
          </w:tcPr>
          <w:p>
            <w:pPr>
              <w:spacing w:after="0"/>
              <w:rPr>
                <w:sz w:val="1"/>
                <w:szCs w:val="1"/>
                <w:color w:val="auto"/>
              </w:rPr>
            </w:pPr>
          </w:p>
        </w:tc>
      </w:tr>
      <w:tr>
        <w:trPr>
          <w:trHeight w:val="54"/>
        </w:trPr>
        <w:tc>
          <w:tcPr>
            <w:tcW w:w="2200" w:type="dxa"/>
            <w:vAlign w:val="bottom"/>
            <w:vMerge w:val="continue"/>
            <w:shd w:val="clear" w:color="auto" w:fill="D9D9D9"/>
          </w:tcPr>
          <w:p>
            <w:pPr>
              <w:spacing w:after="0"/>
              <w:rPr>
                <w:sz w:val="4"/>
                <w:szCs w:val="4"/>
                <w:color w:val="auto"/>
              </w:rPr>
            </w:pPr>
          </w:p>
        </w:tc>
        <w:tc>
          <w:tcPr>
            <w:tcW w:w="2240" w:type="dxa"/>
            <w:vAlign w:val="bottom"/>
            <w:vMerge w:val="continue"/>
            <w:shd w:val="clear" w:color="auto" w:fill="D9D9D9"/>
          </w:tcPr>
          <w:p>
            <w:pPr>
              <w:spacing w:after="0"/>
              <w:rPr>
                <w:sz w:val="4"/>
                <w:szCs w:val="4"/>
                <w:color w:val="auto"/>
              </w:rPr>
            </w:pPr>
          </w:p>
        </w:tc>
        <w:tc>
          <w:tcPr>
            <w:tcW w:w="222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trends, internal equity and executive</w:t>
            </w:r>
          </w:p>
        </w:tc>
        <w:tc>
          <w:tcPr>
            <w:tcW w:w="2140" w:type="dxa"/>
            <w:vAlign w:val="bottom"/>
            <w:shd w:val="clear" w:color="auto" w:fill="D9D9D9"/>
          </w:tcPr>
          <w:p>
            <w:pPr>
              <w:spacing w:after="0"/>
              <w:rPr>
                <w:sz w:val="4"/>
                <w:szCs w:val="4"/>
                <w:color w:val="auto"/>
              </w:rPr>
            </w:pPr>
          </w:p>
        </w:tc>
        <w:tc>
          <w:tcPr>
            <w:tcW w:w="228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20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and</w:t>
            </w:r>
          </w:p>
        </w:tc>
        <w:tc>
          <w:tcPr>
            <w:tcW w:w="224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w w:val="99"/>
              </w:rPr>
              <w:t>quality products and services while creating</w:t>
            </w:r>
          </w:p>
        </w:tc>
        <w:tc>
          <w:tcPr>
            <w:tcW w:w="2220" w:type="dxa"/>
            <w:vAlign w:val="bottom"/>
            <w:vMerge w:val="continue"/>
            <w:shd w:val="clear" w:color="auto" w:fill="D9D9D9"/>
          </w:tcPr>
          <w:p>
            <w:pPr>
              <w:spacing w:after="0"/>
              <w:rPr>
                <w:sz w:val="6"/>
                <w:szCs w:val="6"/>
                <w:color w:val="auto"/>
              </w:rPr>
            </w:pPr>
          </w:p>
        </w:tc>
        <w:tc>
          <w:tcPr>
            <w:tcW w:w="2140" w:type="dxa"/>
            <w:vAlign w:val="bottom"/>
            <w:shd w:val="clear" w:color="auto" w:fill="D9D9D9"/>
          </w:tcPr>
          <w:p>
            <w:pPr>
              <w:spacing w:after="0"/>
              <w:rPr>
                <w:sz w:val="6"/>
                <w:szCs w:val="6"/>
                <w:color w:val="auto"/>
              </w:rPr>
            </w:pPr>
          </w:p>
        </w:tc>
        <w:tc>
          <w:tcPr>
            <w:tcW w:w="228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awards and the stock settled portion of the</w:t>
            </w:r>
          </w:p>
        </w:tc>
        <w:tc>
          <w:tcPr>
            <w:tcW w:w="0" w:type="dxa"/>
            <w:vAlign w:val="bottom"/>
          </w:tcPr>
          <w:p>
            <w:pPr>
              <w:spacing w:after="0"/>
              <w:rPr>
                <w:sz w:val="1"/>
                <w:szCs w:val="1"/>
                <w:color w:val="auto"/>
              </w:rPr>
            </w:pPr>
          </w:p>
        </w:tc>
      </w:tr>
      <w:tr>
        <w:trPr>
          <w:trHeight w:val="63"/>
        </w:trPr>
        <w:tc>
          <w:tcPr>
            <w:tcW w:w="2200" w:type="dxa"/>
            <w:vAlign w:val="bottom"/>
            <w:vMerge w:val="continue"/>
            <w:shd w:val="clear" w:color="auto" w:fill="D9D9D9"/>
          </w:tcPr>
          <w:p>
            <w:pPr>
              <w:spacing w:after="0"/>
              <w:rPr>
                <w:sz w:val="5"/>
                <w:szCs w:val="5"/>
                <w:color w:val="auto"/>
              </w:rPr>
            </w:pPr>
          </w:p>
        </w:tc>
        <w:tc>
          <w:tcPr>
            <w:tcW w:w="2240" w:type="dxa"/>
            <w:vAlign w:val="bottom"/>
            <w:vMerge w:val="continue"/>
            <w:shd w:val="clear" w:color="auto" w:fill="D9D9D9"/>
          </w:tcPr>
          <w:p>
            <w:pPr>
              <w:spacing w:after="0"/>
              <w:rPr>
                <w:sz w:val="5"/>
                <w:szCs w:val="5"/>
                <w:color w:val="auto"/>
              </w:rPr>
            </w:pPr>
          </w:p>
        </w:tc>
        <w:tc>
          <w:tcPr>
            <w:tcW w:w="222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potential.</w:t>
            </w:r>
          </w:p>
        </w:tc>
        <w:tc>
          <w:tcPr>
            <w:tcW w:w="2140" w:type="dxa"/>
            <w:vAlign w:val="bottom"/>
            <w:shd w:val="clear" w:color="auto" w:fill="D9D9D9"/>
          </w:tcPr>
          <w:p>
            <w:pPr>
              <w:spacing w:after="0"/>
              <w:rPr>
                <w:sz w:val="5"/>
                <w:szCs w:val="5"/>
                <w:color w:val="auto"/>
              </w:rPr>
            </w:pPr>
          </w:p>
        </w:tc>
        <w:tc>
          <w:tcPr>
            <w:tcW w:w="2280" w:type="dxa"/>
            <w:vAlign w:val="bottom"/>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200" w:type="dxa"/>
            <w:vAlign w:val="bottom"/>
            <w:shd w:val="clear" w:color="auto" w:fill="D9D9D9"/>
          </w:tcPr>
          <w:p>
            <w:pPr>
              <w:spacing w:after="0"/>
              <w:rPr>
                <w:sz w:val="6"/>
                <w:szCs w:val="6"/>
                <w:color w:val="auto"/>
              </w:rPr>
            </w:pPr>
          </w:p>
        </w:tc>
        <w:tc>
          <w:tcPr>
            <w:tcW w:w="224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w w:val="99"/>
              </w:rPr>
              <w:t>appropriate retention incentives through the</w:t>
            </w:r>
          </w:p>
        </w:tc>
        <w:tc>
          <w:tcPr>
            <w:tcW w:w="2220" w:type="dxa"/>
            <w:vAlign w:val="bottom"/>
            <w:vMerge w:val="continue"/>
            <w:shd w:val="clear" w:color="auto" w:fill="D9D9D9"/>
          </w:tcPr>
          <w:p>
            <w:pPr>
              <w:spacing w:after="0"/>
              <w:rPr>
                <w:sz w:val="6"/>
                <w:szCs w:val="6"/>
                <w:color w:val="auto"/>
              </w:rPr>
            </w:pPr>
          </w:p>
        </w:tc>
        <w:tc>
          <w:tcPr>
            <w:tcW w:w="2140" w:type="dxa"/>
            <w:vAlign w:val="bottom"/>
            <w:shd w:val="clear" w:color="auto" w:fill="D9D9D9"/>
          </w:tcPr>
          <w:p>
            <w:pPr>
              <w:spacing w:after="0"/>
              <w:rPr>
                <w:sz w:val="6"/>
                <w:szCs w:val="6"/>
                <w:color w:val="auto"/>
              </w:rPr>
            </w:pPr>
          </w:p>
        </w:tc>
        <w:tc>
          <w:tcPr>
            <w:tcW w:w="228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performance awards also vary based on</w:t>
            </w:r>
          </w:p>
        </w:tc>
        <w:tc>
          <w:tcPr>
            <w:tcW w:w="0" w:type="dxa"/>
            <w:vAlign w:val="bottom"/>
          </w:tcPr>
          <w:p>
            <w:pPr>
              <w:spacing w:after="0"/>
              <w:rPr>
                <w:sz w:val="1"/>
                <w:szCs w:val="1"/>
                <w:color w:val="auto"/>
              </w:rPr>
            </w:pPr>
          </w:p>
        </w:tc>
      </w:tr>
      <w:tr>
        <w:trPr>
          <w:trHeight w:val="47"/>
        </w:trPr>
        <w:tc>
          <w:tcPr>
            <w:tcW w:w="2200" w:type="dxa"/>
            <w:vAlign w:val="bottom"/>
            <w:shd w:val="clear" w:color="auto" w:fill="D9D9D9"/>
          </w:tcPr>
          <w:p>
            <w:pPr>
              <w:spacing w:after="0"/>
              <w:rPr>
                <w:sz w:val="4"/>
                <w:szCs w:val="4"/>
                <w:color w:val="auto"/>
              </w:rPr>
            </w:pPr>
          </w:p>
        </w:tc>
        <w:tc>
          <w:tcPr>
            <w:tcW w:w="2240" w:type="dxa"/>
            <w:vAlign w:val="bottom"/>
            <w:vMerge w:val="continue"/>
            <w:shd w:val="clear" w:color="auto" w:fill="D9D9D9"/>
          </w:tcPr>
          <w:p>
            <w:pPr>
              <w:spacing w:after="0"/>
              <w:rPr>
                <w:sz w:val="4"/>
                <w:szCs w:val="4"/>
                <w:color w:val="auto"/>
              </w:rPr>
            </w:pPr>
          </w:p>
        </w:tc>
        <w:tc>
          <w:tcPr>
            <w:tcW w:w="2220" w:type="dxa"/>
            <w:vAlign w:val="bottom"/>
            <w:shd w:val="clear" w:color="auto" w:fill="D9D9D9"/>
          </w:tcPr>
          <w:p>
            <w:pPr>
              <w:spacing w:after="0"/>
              <w:rPr>
                <w:sz w:val="4"/>
                <w:szCs w:val="4"/>
                <w:color w:val="auto"/>
              </w:rPr>
            </w:pPr>
          </w:p>
        </w:tc>
        <w:tc>
          <w:tcPr>
            <w:tcW w:w="2140" w:type="dxa"/>
            <w:vAlign w:val="bottom"/>
            <w:shd w:val="clear" w:color="auto" w:fill="D9D9D9"/>
          </w:tcPr>
          <w:p>
            <w:pPr>
              <w:spacing w:after="0"/>
              <w:rPr>
                <w:sz w:val="4"/>
                <w:szCs w:val="4"/>
                <w:color w:val="auto"/>
              </w:rPr>
            </w:pPr>
          </w:p>
        </w:tc>
        <w:tc>
          <w:tcPr>
            <w:tcW w:w="228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9D9D9"/>
          </w:tcPr>
          <w:p>
            <w:pPr>
              <w:spacing w:after="0"/>
              <w:rPr>
                <w:sz w:val="20"/>
                <w:szCs w:val="20"/>
                <w:color w:val="auto"/>
              </w:rPr>
            </w:pPr>
            <w:r>
              <w:rPr>
                <w:rFonts w:ascii="Arial" w:cs="Arial" w:eastAsia="Arial" w:hAnsi="Arial"/>
                <w:sz w:val="11"/>
                <w:szCs w:val="11"/>
                <w:color w:val="auto"/>
              </w:rPr>
              <w:t>•  Performance Awards (60% for Mr.</w:t>
            </w:r>
          </w:p>
        </w:tc>
        <w:tc>
          <w:tcPr>
            <w:tcW w:w="2240" w:type="dxa"/>
            <w:vAlign w:val="bottom"/>
            <w:shd w:val="clear" w:color="auto" w:fill="D9D9D9"/>
          </w:tcPr>
          <w:p>
            <w:pPr>
              <w:ind w:left="100"/>
              <w:spacing w:after="0"/>
              <w:rPr>
                <w:sz w:val="20"/>
                <w:szCs w:val="20"/>
                <w:color w:val="auto"/>
              </w:rPr>
            </w:pPr>
            <w:r>
              <w:rPr>
                <w:rFonts w:ascii="Arial" w:cs="Arial" w:eastAsia="Arial" w:hAnsi="Arial"/>
                <w:sz w:val="11"/>
                <w:szCs w:val="11"/>
                <w:color w:val="auto"/>
              </w:rPr>
              <w:t>use of multi-year vesting schedules.</w:t>
            </w:r>
          </w:p>
        </w:tc>
        <w:tc>
          <w:tcPr>
            <w:tcW w:w="222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New hire, promotion and special awards –</w:t>
            </w:r>
          </w:p>
        </w:tc>
        <w:tc>
          <w:tcPr>
            <w:tcW w:w="2140" w:type="dxa"/>
            <w:vAlign w:val="bottom"/>
            <w:shd w:val="clear" w:color="auto" w:fill="D9D9D9"/>
          </w:tcPr>
          <w:p>
            <w:pPr>
              <w:spacing w:after="0"/>
              <w:rPr>
                <w:sz w:val="12"/>
                <w:szCs w:val="12"/>
                <w:color w:val="auto"/>
              </w:rPr>
            </w:pPr>
          </w:p>
        </w:tc>
        <w:tc>
          <w:tcPr>
            <w:tcW w:w="2280" w:type="dxa"/>
            <w:vAlign w:val="bottom"/>
            <w:shd w:val="clear" w:color="auto" w:fill="D9D9D9"/>
          </w:tcPr>
          <w:p>
            <w:pPr>
              <w:ind w:left="160"/>
              <w:spacing w:after="0"/>
              <w:rPr>
                <w:sz w:val="20"/>
                <w:szCs w:val="20"/>
                <w:color w:val="auto"/>
              </w:rPr>
            </w:pPr>
            <w:r>
              <w:rPr>
                <w:rFonts w:ascii="Arial" w:cs="Arial" w:eastAsia="Arial" w:hAnsi="Arial"/>
                <w:sz w:val="11"/>
                <w:szCs w:val="11"/>
                <w:color w:val="auto"/>
              </w:rPr>
              <w:t>stock price performance.</w:t>
            </w:r>
          </w:p>
        </w:tc>
        <w:tc>
          <w:tcPr>
            <w:tcW w:w="0" w:type="dxa"/>
            <w:vAlign w:val="bottom"/>
          </w:tcPr>
          <w:p>
            <w:pPr>
              <w:spacing w:after="0"/>
              <w:rPr>
                <w:sz w:val="1"/>
                <w:szCs w:val="1"/>
                <w:color w:val="auto"/>
              </w:rPr>
            </w:pPr>
          </w:p>
        </w:tc>
      </w:tr>
      <w:tr>
        <w:trPr>
          <w:trHeight w:val="90"/>
        </w:trPr>
        <w:tc>
          <w:tcPr>
            <w:tcW w:w="220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Silberhorn and 50% for other named</w:t>
            </w:r>
          </w:p>
        </w:tc>
        <w:tc>
          <w:tcPr>
            <w:tcW w:w="2240" w:type="dxa"/>
            <w:vAlign w:val="bottom"/>
            <w:shd w:val="clear" w:color="auto" w:fill="D9D9D9"/>
          </w:tcPr>
          <w:p>
            <w:pPr>
              <w:spacing w:after="0"/>
              <w:rPr>
                <w:sz w:val="7"/>
                <w:szCs w:val="7"/>
                <w:color w:val="auto"/>
              </w:rPr>
            </w:pPr>
          </w:p>
        </w:tc>
        <w:tc>
          <w:tcPr>
            <w:tcW w:w="2220" w:type="dxa"/>
            <w:vAlign w:val="bottom"/>
            <w:vMerge w:val="continue"/>
            <w:shd w:val="clear" w:color="auto" w:fill="D9D9D9"/>
          </w:tcPr>
          <w:p>
            <w:pPr>
              <w:spacing w:after="0"/>
              <w:rPr>
                <w:sz w:val="7"/>
                <w:szCs w:val="7"/>
                <w:color w:val="auto"/>
              </w:rPr>
            </w:pPr>
          </w:p>
        </w:tc>
        <w:tc>
          <w:tcPr>
            <w:tcW w:w="2140" w:type="dxa"/>
            <w:vAlign w:val="bottom"/>
            <w:shd w:val="clear" w:color="auto" w:fill="D9D9D9"/>
          </w:tcPr>
          <w:p>
            <w:pPr>
              <w:spacing w:after="0"/>
              <w:rPr>
                <w:sz w:val="7"/>
                <w:szCs w:val="7"/>
                <w:color w:val="auto"/>
              </w:rPr>
            </w:pPr>
          </w:p>
        </w:tc>
        <w:tc>
          <w:tcPr>
            <w:tcW w:w="228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200" w:type="dxa"/>
            <w:vAlign w:val="bottom"/>
            <w:vMerge w:val="continue"/>
            <w:shd w:val="clear" w:color="auto" w:fill="D9D9D9"/>
          </w:tcPr>
          <w:p>
            <w:pPr>
              <w:spacing w:after="0"/>
              <w:rPr>
                <w:sz w:val="3"/>
                <w:szCs w:val="3"/>
                <w:color w:val="auto"/>
              </w:rPr>
            </w:pPr>
          </w:p>
        </w:tc>
        <w:tc>
          <w:tcPr>
            <w:tcW w:w="2240" w:type="dxa"/>
            <w:vAlign w:val="bottom"/>
            <w:shd w:val="clear" w:color="auto" w:fill="D9D9D9"/>
          </w:tcPr>
          <w:p>
            <w:pPr>
              <w:spacing w:after="0"/>
              <w:rPr>
                <w:sz w:val="3"/>
                <w:szCs w:val="3"/>
                <w:color w:val="auto"/>
              </w:rPr>
            </w:pPr>
          </w:p>
        </w:tc>
        <w:tc>
          <w:tcPr>
            <w:tcW w:w="2220" w:type="dxa"/>
            <w:vAlign w:val="bottom"/>
            <w:vMerge w:val="restart"/>
            <w:shd w:val="clear" w:color="auto" w:fill="D9D9D9"/>
          </w:tcPr>
          <w:p>
            <w:pPr>
              <w:ind w:left="80"/>
              <w:spacing w:after="0"/>
              <w:rPr>
                <w:sz w:val="20"/>
                <w:szCs w:val="20"/>
                <w:color w:val="auto"/>
              </w:rPr>
            </w:pPr>
            <w:r>
              <w:rPr>
                <w:rFonts w:ascii="Arial" w:cs="Arial" w:eastAsia="Arial" w:hAnsi="Arial"/>
                <w:sz w:val="11"/>
                <w:szCs w:val="11"/>
                <w:color w:val="auto"/>
              </w:rPr>
              <w:t>Internal equity and market data and trends.</w:t>
            </w:r>
          </w:p>
        </w:tc>
        <w:tc>
          <w:tcPr>
            <w:tcW w:w="2140" w:type="dxa"/>
            <w:vAlign w:val="bottom"/>
            <w:shd w:val="clear" w:color="auto" w:fill="D9D9D9"/>
          </w:tcPr>
          <w:p>
            <w:pPr>
              <w:spacing w:after="0"/>
              <w:rPr>
                <w:sz w:val="3"/>
                <w:szCs w:val="3"/>
                <w:color w:val="auto"/>
              </w:rPr>
            </w:pPr>
          </w:p>
        </w:tc>
        <w:tc>
          <w:tcPr>
            <w:tcW w:w="228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200" w:type="dxa"/>
            <w:vAlign w:val="bottom"/>
            <w:vMerge w:val="restart"/>
            <w:shd w:val="clear" w:color="auto" w:fill="D9D9D9"/>
          </w:tcPr>
          <w:p>
            <w:pPr>
              <w:ind w:left="160"/>
              <w:spacing w:after="0"/>
              <w:rPr>
                <w:sz w:val="20"/>
                <w:szCs w:val="20"/>
                <w:color w:val="auto"/>
              </w:rPr>
            </w:pPr>
            <w:r>
              <w:rPr>
                <w:rFonts w:ascii="Arial" w:cs="Arial" w:eastAsia="Arial" w:hAnsi="Arial"/>
                <w:sz w:val="11"/>
                <w:szCs w:val="11"/>
                <w:color w:val="auto"/>
              </w:rPr>
              <w:t>executives)</w:t>
            </w:r>
          </w:p>
        </w:tc>
        <w:tc>
          <w:tcPr>
            <w:tcW w:w="2240" w:type="dxa"/>
            <w:vAlign w:val="bottom"/>
            <w:shd w:val="clear" w:color="auto" w:fill="D9D9D9"/>
          </w:tcPr>
          <w:p>
            <w:pPr>
              <w:spacing w:after="0"/>
              <w:rPr>
                <w:sz w:val="9"/>
                <w:szCs w:val="9"/>
                <w:color w:val="auto"/>
              </w:rPr>
            </w:pPr>
          </w:p>
        </w:tc>
        <w:tc>
          <w:tcPr>
            <w:tcW w:w="2220" w:type="dxa"/>
            <w:vAlign w:val="bottom"/>
            <w:vMerge w:val="continue"/>
            <w:shd w:val="clear" w:color="auto" w:fill="D9D9D9"/>
          </w:tcPr>
          <w:p>
            <w:pPr>
              <w:spacing w:after="0"/>
              <w:rPr>
                <w:sz w:val="9"/>
                <w:szCs w:val="9"/>
                <w:color w:val="auto"/>
              </w:rPr>
            </w:pPr>
          </w:p>
        </w:tc>
        <w:tc>
          <w:tcPr>
            <w:tcW w:w="2140" w:type="dxa"/>
            <w:vAlign w:val="bottom"/>
            <w:shd w:val="clear" w:color="auto" w:fill="D9D9D9"/>
          </w:tcPr>
          <w:p>
            <w:pPr>
              <w:spacing w:after="0"/>
              <w:rPr>
                <w:sz w:val="9"/>
                <w:szCs w:val="9"/>
                <w:color w:val="auto"/>
              </w:rPr>
            </w:pPr>
          </w:p>
        </w:tc>
        <w:tc>
          <w:tcPr>
            <w:tcW w:w="228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200" w:type="dxa"/>
            <w:vAlign w:val="bottom"/>
            <w:vMerge w:val="continue"/>
            <w:shd w:val="clear" w:color="auto" w:fill="D9D9D9"/>
          </w:tcPr>
          <w:p>
            <w:pPr>
              <w:spacing w:after="0"/>
              <w:rPr>
                <w:sz w:val="3"/>
                <w:szCs w:val="3"/>
                <w:color w:val="auto"/>
              </w:rPr>
            </w:pPr>
          </w:p>
        </w:tc>
        <w:tc>
          <w:tcPr>
            <w:tcW w:w="2240" w:type="dxa"/>
            <w:vAlign w:val="bottom"/>
            <w:shd w:val="clear" w:color="auto" w:fill="D9D9D9"/>
          </w:tcPr>
          <w:p>
            <w:pPr>
              <w:spacing w:after="0"/>
              <w:rPr>
                <w:sz w:val="3"/>
                <w:szCs w:val="3"/>
                <w:color w:val="auto"/>
              </w:rPr>
            </w:pPr>
          </w:p>
        </w:tc>
        <w:tc>
          <w:tcPr>
            <w:tcW w:w="2220" w:type="dxa"/>
            <w:vAlign w:val="bottom"/>
            <w:shd w:val="clear" w:color="auto" w:fill="D9D9D9"/>
          </w:tcPr>
          <w:p>
            <w:pPr>
              <w:spacing w:after="0"/>
              <w:rPr>
                <w:sz w:val="3"/>
                <w:szCs w:val="3"/>
                <w:color w:val="auto"/>
              </w:rPr>
            </w:pPr>
          </w:p>
        </w:tc>
        <w:tc>
          <w:tcPr>
            <w:tcW w:w="2140" w:type="dxa"/>
            <w:vAlign w:val="bottom"/>
            <w:shd w:val="clear" w:color="auto" w:fill="D9D9D9"/>
          </w:tcPr>
          <w:p>
            <w:pPr>
              <w:spacing w:after="0"/>
              <w:rPr>
                <w:sz w:val="3"/>
                <w:szCs w:val="3"/>
                <w:color w:val="auto"/>
              </w:rPr>
            </w:pPr>
          </w:p>
        </w:tc>
        <w:tc>
          <w:tcPr>
            <w:tcW w:w="228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200" w:type="dxa"/>
            <w:vAlign w:val="bottom"/>
            <w:shd w:val="clear" w:color="auto" w:fill="D9D9D9"/>
          </w:tcPr>
          <w:p>
            <w:pPr>
              <w:spacing w:after="0"/>
              <w:rPr>
                <w:sz w:val="11"/>
                <w:szCs w:val="11"/>
                <w:color w:val="auto"/>
              </w:rPr>
            </w:pPr>
          </w:p>
        </w:tc>
        <w:tc>
          <w:tcPr>
            <w:tcW w:w="2240" w:type="dxa"/>
            <w:vAlign w:val="bottom"/>
            <w:shd w:val="clear" w:color="auto" w:fill="D9D9D9"/>
          </w:tcPr>
          <w:p>
            <w:pPr>
              <w:spacing w:after="0"/>
              <w:rPr>
                <w:sz w:val="11"/>
                <w:szCs w:val="11"/>
                <w:color w:val="auto"/>
              </w:rPr>
            </w:pPr>
          </w:p>
        </w:tc>
        <w:tc>
          <w:tcPr>
            <w:tcW w:w="2220" w:type="dxa"/>
            <w:vAlign w:val="bottom"/>
            <w:shd w:val="clear" w:color="auto" w:fill="D9D9D9"/>
          </w:tcPr>
          <w:p>
            <w:pPr>
              <w:spacing w:after="0"/>
              <w:rPr>
                <w:sz w:val="11"/>
                <w:szCs w:val="11"/>
                <w:color w:val="auto"/>
              </w:rPr>
            </w:pPr>
          </w:p>
        </w:tc>
        <w:tc>
          <w:tcPr>
            <w:tcW w:w="2140" w:type="dxa"/>
            <w:vAlign w:val="bottom"/>
            <w:shd w:val="clear" w:color="auto" w:fill="D9D9D9"/>
          </w:tcPr>
          <w:p>
            <w:pPr>
              <w:spacing w:after="0"/>
              <w:rPr>
                <w:sz w:val="11"/>
                <w:szCs w:val="11"/>
                <w:color w:val="auto"/>
              </w:rPr>
            </w:pPr>
          </w:p>
        </w:tc>
        <w:tc>
          <w:tcPr>
            <w:tcW w:w="22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7"/>
                <w:szCs w:val="7"/>
                <w:color w:val="auto"/>
              </w:rPr>
              <w:t>___________________________</w:t>
            </w: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08" w:hanging="308"/>
        <w:spacing w:after="0"/>
        <w:tabs>
          <w:tab w:leader="none" w:pos="3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Actual pay levels may be above or below the targeted level depending on actual performance.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Determining Executive Compensation</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Our executive compensation program is evaluated annually taking into consideration changes to our business strategy and annual operating plan, the economy and our competitive marketplace, a robust strategic goal setting process, and evolving executive compensation practices.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the first quarter of each fiscal year, the performance of each of our Named Executive Officers is evaluated based on a subjective assessment of: (i) their executive leadership; (ii) enterprise competencies; and (iii) achievement of agreed-upon individual business objectives for the just-completed fiscal year. The annual performance evaluation of our Chief Executive Officer is administered by our Nominating and Corporate Governance Committee, with all non-employee directors participating in the performance evaluation, and the results of the Chief Executive Officer’s annual performance evaluation are reviewed by the Committee and our full Board. Our Chief Executive Officer conducts or participates in the annual performance evaluation of our Other Named Executive Officers and reviews the results with members of the Committee.</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In establishing the elements and levels of compensation for a fiscal year, the Committee considers the annual performance evaluations of our Named Executive Officers and reviews its compensation consultant’s independent analyses of compensation based on comparable positions, using both published survey sources and company peer group data to determine our competitive positioning relative to the market. Our Chief Executive Officer makes recommendations to the Committee on compensation for our Other Named Executive Officers, but does not participate in the determination of his own compensation.</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Committee continuously monitors our compensation programs and annually reviews a compensation “tally sheet,” which lists total direct compensation (base salary, short-term cash incentive compensation, and long-term incentive awards), perquisites, other elements of executive compensation, broad-based employee benefits and wealth accumulation through our Company equity and retirement plans for our Named Executive Officers; however, the compensation tally sheets are not used to make actual pay decisions. The Committee assesses historical pay and performance to ensure continued alignment of our compensation programs.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Consulting Assistance, Peer Group and Competitive Market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u w:val="single" w:color="auto"/>
          <w:color w:val="auto"/>
        </w:rPr>
        <w:t>Compensation Consultant Independence</w:t>
      </w:r>
      <w:r>
        <w:rPr>
          <w:rFonts w:ascii="Arial" w:cs="Arial" w:eastAsia="Arial" w:hAnsi="Arial"/>
          <w:sz w:val="12"/>
          <w:szCs w:val="12"/>
          <w:color w:val="auto"/>
        </w:rPr>
        <w:t>. The Compensation Committee has the authority to retain independent compensation consultants to provide counsel and advice regarding compensation levels for our</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officers and related matters. In October 2025, the Committee retained Meridian Compensation Partners, LLC ("Meridian") as its new independent compensation consultant. Willis Towers Watson (“WTW”), served as the Company's independent compensation consultant through September 2025. The compensation consultant reports directly to the Committee, and the Committee can replace the compensation consultant or hire additional consultants at any time. During fiscal 2026, WTW attended each Committee meeting during their tenure in person or by video conference, including executive sessions as requested, and consulted with the Chair of the Committee between meetings. Beginning in January 2026, Meridian attended each Committee meeting in person or by video conference, including executive sessions as requested, and consulted with the Chair of the Committee between meetings.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As required under the Dodd-Frank Act, the Committee has analyzed whether the work of WTW or Meridian, as its compensation consultants, raises any conflict of interest, taking into consideration the following factors under the Nasdaq listing rules: (i) neither WTW nor Meridian provides any other services to our Company, except that WTW provided brokerage services for the Company’s property insurance and surety bonds in exchange for fees less than $ 120,000 in fiscal 2026; (ii) the amount of fees from our Company paid to WTW and Meridian is less than 1% of each of WTW's and Meridian's total revenue; (iii) WTW and Meridian's policies and procedures are designed to ensure independence; (iv) neither WTW nor Meridian, nor any member of their respective consulting teams, has any business or personal relationship with any executive officer of our Company, and no member of their consulting team has any business or personal relationship with any member of the Committee; and (v) neither WTW nor Meridian, nor any member of their respective consulting team, owns any stock of our Company.</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The Committee has determined, based on its analysis of the above factors, that WTW and Meridian are independent of our Company and the work of WTW and Meridian (and the individual compensation advisors employed by WTW and Meridian) as compensation consultants to the Committee, and the additional services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44" w:name="page45"/>
    <w:bookmarkEnd w:id="44"/>
    <w:p>
      <w:pPr>
        <w:ind w:left="8"/>
        <w:spacing w:after="0"/>
        <w:rPr>
          <w:sz w:val="20"/>
          <w:szCs w:val="20"/>
          <w:color w:val="auto"/>
        </w:rPr>
      </w:pPr>
      <w:r>
        <w:rPr>
          <w:rFonts w:ascii="Arial" w:cs="Arial" w:eastAsia="Arial" w:hAnsi="Arial"/>
          <w:sz w:val="12"/>
          <w:szCs w:val="12"/>
          <w:color w:val="auto"/>
        </w:rPr>
        <w:t>provided by WTW and Meridian, have not created a conflict of interest. The Committee will continue to annually monitor the independence of its compensation consultant.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Peer Group</w:t>
      </w:r>
      <w:r>
        <w:rPr>
          <w:rFonts w:ascii="Arial" w:cs="Arial" w:eastAsia="Arial" w:hAnsi="Arial"/>
          <w:sz w:val="12"/>
          <w:szCs w:val="12"/>
          <w:color w:val="auto"/>
        </w:rPr>
        <w:t>. The selection criteria identified for determining and reviewing our Company’s peer group generally include:</w:t>
      </w:r>
    </w:p>
    <w:p>
      <w:pPr>
        <w:spacing w:after="0" w:line="103"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with revenue within a similar range (0.33 to 3.0 multiple).</w:t>
      </w:r>
    </w:p>
    <w:p>
      <w:pPr>
        <w:spacing w:after="0" w:line="82" w:lineRule="exact"/>
        <w:rPr>
          <w:rFonts w:ascii="Arial" w:cs="Arial" w:eastAsia="Arial" w:hAnsi="Arial"/>
          <w:sz w:val="14"/>
          <w:szCs w:val="14"/>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with market capitalization within a similar range (0.33 to 3.0 multiple).</w:t>
      </w:r>
    </w:p>
    <w:p>
      <w:pPr>
        <w:spacing w:after="0" w:line="82" w:lineRule="exact"/>
        <w:rPr>
          <w:rFonts w:ascii="Arial" w:cs="Arial" w:eastAsia="Arial" w:hAnsi="Arial"/>
          <w:sz w:val="14"/>
          <w:szCs w:val="14"/>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with market capitalization to revenue ratio of 0.5 or greater.</w:t>
      </w:r>
    </w:p>
    <w:p>
      <w:pPr>
        <w:spacing w:after="0" w:line="91" w:lineRule="exact"/>
        <w:rPr>
          <w:rFonts w:ascii="Arial" w:cs="Arial" w:eastAsia="Arial" w:hAnsi="Arial"/>
          <w:sz w:val="14"/>
          <w:szCs w:val="14"/>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in the same or similar industries.</w:t>
      </w:r>
    </w:p>
    <w:p>
      <w:pPr>
        <w:spacing w:after="0" w:line="82" w:lineRule="exact"/>
        <w:rPr>
          <w:rFonts w:ascii="Arial" w:cs="Arial" w:eastAsia="Arial" w:hAnsi="Arial"/>
          <w:sz w:val="14"/>
          <w:szCs w:val="14"/>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with business model similarity, which may include the following:</w:t>
      </w:r>
    </w:p>
    <w:p>
      <w:pPr>
        <w:spacing w:after="0" w:line="57" w:lineRule="exact"/>
        <w:rPr>
          <w:rFonts w:ascii="Arial" w:cs="Arial" w:eastAsia="Arial" w:hAnsi="Arial"/>
          <w:sz w:val="14"/>
          <w:szCs w:val="14"/>
          <w:color w:val="auto"/>
        </w:rPr>
      </w:pPr>
    </w:p>
    <w:p>
      <w:pPr>
        <w:ind w:left="208"/>
        <w:spacing w:after="0"/>
        <w:rPr>
          <w:rFonts w:ascii="Arial" w:cs="Arial" w:eastAsia="Arial" w:hAnsi="Arial"/>
          <w:sz w:val="14"/>
          <w:szCs w:val="14"/>
          <w:color w:val="auto"/>
        </w:rPr>
      </w:pPr>
      <w:r>
        <w:rPr>
          <w:rFonts w:ascii="Arial" w:cs="Arial" w:eastAsia="Arial" w:hAnsi="Arial"/>
          <w:sz w:val="12"/>
          <w:szCs w:val="12"/>
          <w:color w:val="auto"/>
        </w:rPr>
        <w:t>–  Coatings for special purposes;</w:t>
      </w:r>
    </w:p>
    <w:p>
      <w:pPr>
        <w:spacing w:after="0" w:line="78" w:lineRule="exact"/>
        <w:rPr>
          <w:rFonts w:ascii="Arial" w:cs="Arial" w:eastAsia="Arial" w:hAnsi="Arial"/>
          <w:sz w:val="14"/>
          <w:szCs w:val="14"/>
          <w:color w:val="auto"/>
        </w:rPr>
      </w:pPr>
    </w:p>
    <w:p>
      <w:pPr>
        <w:ind w:left="208"/>
        <w:spacing w:after="0"/>
        <w:rPr>
          <w:rFonts w:ascii="Arial" w:cs="Arial" w:eastAsia="Arial" w:hAnsi="Arial"/>
          <w:sz w:val="14"/>
          <w:szCs w:val="14"/>
          <w:color w:val="auto"/>
        </w:rPr>
      </w:pPr>
      <w:r>
        <w:rPr>
          <w:rFonts w:ascii="Arial" w:cs="Arial" w:eastAsia="Arial" w:hAnsi="Arial"/>
          <w:sz w:val="12"/>
          <w:szCs w:val="12"/>
          <w:color w:val="auto"/>
        </w:rPr>
        <w:t>–  Construction materials, primarily for commercial or industrial applications;</w:t>
      </w:r>
    </w:p>
    <w:p>
      <w:pPr>
        <w:spacing w:after="0" w:line="78" w:lineRule="exact"/>
        <w:rPr>
          <w:rFonts w:ascii="Arial" w:cs="Arial" w:eastAsia="Arial" w:hAnsi="Arial"/>
          <w:sz w:val="14"/>
          <w:szCs w:val="14"/>
          <w:color w:val="auto"/>
        </w:rPr>
      </w:pPr>
    </w:p>
    <w:p>
      <w:pPr>
        <w:ind w:left="208"/>
        <w:spacing w:after="0"/>
        <w:rPr>
          <w:rFonts w:ascii="Arial" w:cs="Arial" w:eastAsia="Arial" w:hAnsi="Arial"/>
          <w:sz w:val="14"/>
          <w:szCs w:val="14"/>
          <w:color w:val="auto"/>
        </w:rPr>
      </w:pPr>
      <w:r>
        <w:rPr>
          <w:rFonts w:ascii="Arial" w:cs="Arial" w:eastAsia="Arial" w:hAnsi="Arial"/>
          <w:sz w:val="12"/>
          <w:szCs w:val="12"/>
          <w:color w:val="auto"/>
        </w:rPr>
        <w:t>–  Specialized/customized product lines;</w:t>
      </w:r>
    </w:p>
    <w:p>
      <w:pPr>
        <w:spacing w:after="0" w:line="78" w:lineRule="exact"/>
        <w:rPr>
          <w:rFonts w:ascii="Arial" w:cs="Arial" w:eastAsia="Arial" w:hAnsi="Arial"/>
          <w:sz w:val="14"/>
          <w:szCs w:val="14"/>
          <w:color w:val="auto"/>
        </w:rPr>
      </w:pPr>
    </w:p>
    <w:p>
      <w:pPr>
        <w:ind w:left="208"/>
        <w:spacing w:after="0"/>
        <w:rPr>
          <w:rFonts w:ascii="Arial" w:cs="Arial" w:eastAsia="Arial" w:hAnsi="Arial"/>
          <w:sz w:val="14"/>
          <w:szCs w:val="14"/>
          <w:color w:val="auto"/>
        </w:rPr>
      </w:pPr>
      <w:r>
        <w:rPr>
          <w:rFonts w:ascii="Arial" w:cs="Arial" w:eastAsia="Arial" w:hAnsi="Arial"/>
          <w:sz w:val="12"/>
          <w:szCs w:val="12"/>
          <w:color w:val="auto"/>
        </w:rPr>
        <w:t>–  Heavy-duty manufacturing operations and project-directed manufacturing; and</w:t>
      </w:r>
    </w:p>
    <w:p>
      <w:pPr>
        <w:spacing w:after="0" w:line="78" w:lineRule="exact"/>
        <w:rPr>
          <w:rFonts w:ascii="Arial" w:cs="Arial" w:eastAsia="Arial" w:hAnsi="Arial"/>
          <w:sz w:val="14"/>
          <w:szCs w:val="14"/>
          <w:color w:val="auto"/>
        </w:rPr>
      </w:pPr>
    </w:p>
    <w:p>
      <w:pPr>
        <w:ind w:left="208"/>
        <w:spacing w:after="0"/>
        <w:rPr>
          <w:rFonts w:ascii="Arial" w:cs="Arial" w:eastAsia="Arial" w:hAnsi="Arial"/>
          <w:sz w:val="14"/>
          <w:szCs w:val="14"/>
          <w:color w:val="auto"/>
        </w:rPr>
      </w:pPr>
      <w:r>
        <w:rPr>
          <w:rFonts w:ascii="Arial" w:cs="Arial" w:eastAsia="Arial" w:hAnsi="Arial"/>
          <w:sz w:val="12"/>
          <w:szCs w:val="12"/>
          <w:color w:val="auto"/>
        </w:rPr>
        <w:t>–  Project-based businesses.</w:t>
      </w:r>
    </w:p>
    <w:p>
      <w:pPr>
        <w:spacing w:after="0" w:line="102" w:lineRule="exact"/>
        <w:rPr>
          <w:rFonts w:ascii="Arial" w:cs="Arial" w:eastAsia="Arial" w:hAnsi="Arial"/>
          <w:sz w:val="14"/>
          <w:szCs w:val="14"/>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in the same geographic location (to a lesser degree).</w:t>
      </w:r>
    </w:p>
    <w:p>
      <w:pPr>
        <w:spacing w:after="0" w:line="82" w:lineRule="exact"/>
        <w:rPr>
          <w:rFonts w:ascii="Arial" w:cs="Arial" w:eastAsia="Arial" w:hAnsi="Arial"/>
          <w:sz w:val="14"/>
          <w:szCs w:val="14"/>
          <w:color w:val="auto"/>
        </w:rPr>
      </w:pPr>
    </w:p>
    <w:p>
      <w:pPr>
        <w:ind w:left="208" w:hanging="208"/>
        <w:spacing w:after="0"/>
        <w:tabs>
          <w:tab w:leader="none" w:pos="208" w:val="left"/>
        </w:tabs>
        <w:numPr>
          <w:ilvl w:val="0"/>
          <w:numId w:val="33"/>
        </w:numPr>
        <w:rPr>
          <w:rFonts w:ascii="Arial" w:cs="Arial" w:eastAsia="Arial" w:hAnsi="Arial"/>
          <w:sz w:val="14"/>
          <w:szCs w:val="14"/>
          <w:color w:val="auto"/>
        </w:rPr>
      </w:pPr>
      <w:r>
        <w:rPr>
          <w:rFonts w:ascii="Arial" w:cs="Arial" w:eastAsia="Arial" w:hAnsi="Arial"/>
          <w:sz w:val="12"/>
          <w:szCs w:val="12"/>
          <w:color w:val="auto"/>
        </w:rPr>
        <w:t>Companies included in the prior-year peer group, to help ensure year-over-year consistency (where appropriate).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16 firms served as the Company’s peer group for fiscal 2026.</w:t>
      </w:r>
    </w:p>
    <w:p>
      <w:pPr>
        <w:spacing w:after="0" w:line="186" w:lineRule="exact"/>
        <w:rPr>
          <w:sz w:val="20"/>
          <w:szCs w:val="20"/>
          <w:color w:val="auto"/>
        </w:rPr>
      </w:pPr>
    </w:p>
    <w:tbl>
      <w:tblPr>
        <w:tblLayout w:type="fixed"/>
        <w:tblInd w:w="328" w:type="dxa"/>
        <w:tblCellMar>
          <w:top w:w="0" w:type="dxa"/>
          <w:left w:w="0" w:type="dxa"/>
          <w:bottom w:w="0" w:type="dxa"/>
          <w:right w:w="0" w:type="dxa"/>
        </w:tblCellMar>
      </w:tblPr>
      <w:tr>
        <w:trPr>
          <w:trHeight w:val="177"/>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American Woodmark Corporation</w:t>
            </w:r>
          </w:p>
        </w:tc>
        <w:tc>
          <w:tcPr>
            <w:tcW w:w="1740" w:type="dxa"/>
            <w:vAlign w:val="bottom"/>
          </w:tcPr>
          <w:p>
            <w:pPr>
              <w:ind w:left="1620"/>
              <w:spacing w:after="0"/>
              <w:rPr>
                <w:sz w:val="20"/>
                <w:szCs w:val="20"/>
                <w:color w:val="auto"/>
              </w:rPr>
            </w:pPr>
            <w:r>
              <w:rPr>
                <w:rFonts w:ascii="Arial" w:cs="Arial" w:eastAsia="Arial" w:hAnsi="Arial"/>
                <w:sz w:val="12"/>
                <w:szCs w:val="12"/>
                <w:color w:val="auto"/>
              </w:rPr>
              <w:t>•</w:t>
            </w:r>
          </w:p>
        </w:tc>
        <w:tc>
          <w:tcPr>
            <w:tcW w:w="2140" w:type="dxa"/>
            <w:vAlign w:val="bottom"/>
          </w:tcPr>
          <w:p>
            <w:pPr>
              <w:ind w:left="80"/>
              <w:spacing w:after="0"/>
              <w:rPr>
                <w:sz w:val="20"/>
                <w:szCs w:val="20"/>
                <w:color w:val="auto"/>
              </w:rPr>
            </w:pPr>
            <w:r>
              <w:rPr>
                <w:rFonts w:ascii="Arial" w:cs="Arial" w:eastAsia="Arial" w:hAnsi="Arial"/>
                <w:sz w:val="12"/>
                <w:szCs w:val="12"/>
                <w:color w:val="auto"/>
              </w:rPr>
              <w:t>H.B. Fuller Company</w:t>
            </w:r>
          </w:p>
        </w:tc>
      </w:tr>
      <w:tr>
        <w:trPr>
          <w:trHeight w:val="180"/>
        </w:trPr>
        <w:tc>
          <w:tcPr>
            <w:tcW w:w="3620" w:type="dxa"/>
            <w:vAlign w:val="bottom"/>
            <w:gridSpan w:val="2"/>
          </w:tcPr>
          <w:p>
            <w:pPr>
              <w:spacing w:after="0"/>
              <w:rPr>
                <w:sz w:val="20"/>
                <w:szCs w:val="20"/>
                <w:color w:val="auto"/>
              </w:rPr>
            </w:pPr>
            <w:r>
              <w:rPr>
                <w:rFonts w:ascii="Arial" w:cs="Arial" w:eastAsia="Arial" w:hAnsi="Arial"/>
                <w:sz w:val="12"/>
                <w:szCs w:val="12"/>
                <w:color w:val="auto"/>
              </w:rPr>
              <w:t>•   Armstrong World Industries, Inc.</w:t>
            </w:r>
          </w:p>
        </w:tc>
        <w:tc>
          <w:tcPr>
            <w:tcW w:w="1740" w:type="dxa"/>
            <w:vAlign w:val="bottom"/>
          </w:tcPr>
          <w:p>
            <w:pPr>
              <w:ind w:left="1620"/>
              <w:spacing w:after="0"/>
              <w:rPr>
                <w:sz w:val="20"/>
                <w:szCs w:val="20"/>
                <w:color w:val="auto"/>
              </w:rPr>
            </w:pPr>
            <w:r>
              <w:rPr>
                <w:rFonts w:ascii="Arial" w:cs="Arial" w:eastAsia="Arial" w:hAnsi="Arial"/>
                <w:sz w:val="12"/>
                <w:szCs w:val="12"/>
                <w:color w:val="auto"/>
              </w:rPr>
              <w:t>•</w:t>
            </w:r>
          </w:p>
        </w:tc>
        <w:tc>
          <w:tcPr>
            <w:tcW w:w="2140" w:type="dxa"/>
            <w:vAlign w:val="bottom"/>
          </w:tcPr>
          <w:p>
            <w:pPr>
              <w:ind w:left="80"/>
              <w:spacing w:after="0"/>
              <w:rPr>
                <w:sz w:val="20"/>
                <w:szCs w:val="20"/>
                <w:color w:val="auto"/>
              </w:rPr>
            </w:pPr>
            <w:r>
              <w:rPr>
                <w:rFonts w:ascii="Arial" w:cs="Arial" w:eastAsia="Arial" w:hAnsi="Arial"/>
                <w:sz w:val="12"/>
                <w:szCs w:val="12"/>
                <w:color w:val="auto"/>
              </w:rPr>
              <w:t>Insteel Industries, Inc.</w:t>
            </w:r>
          </w:p>
        </w:tc>
      </w:tr>
      <w:tr>
        <w:trPr>
          <w:trHeight w:val="180"/>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AZZ Inc.</w:t>
            </w:r>
          </w:p>
        </w:tc>
        <w:tc>
          <w:tcPr>
            <w:tcW w:w="3880" w:type="dxa"/>
            <w:vAlign w:val="bottom"/>
            <w:gridSpan w:val="2"/>
          </w:tcPr>
          <w:p>
            <w:pPr>
              <w:ind w:left="1620"/>
              <w:spacing w:after="0"/>
              <w:rPr>
                <w:sz w:val="20"/>
                <w:szCs w:val="20"/>
                <w:color w:val="auto"/>
              </w:rPr>
            </w:pPr>
            <w:r>
              <w:rPr>
                <w:rFonts w:ascii="Arial" w:cs="Arial" w:eastAsia="Arial" w:hAnsi="Arial"/>
                <w:sz w:val="12"/>
                <w:szCs w:val="12"/>
                <w:color w:val="auto"/>
              </w:rPr>
              <w:t>•   Janus International Group, Inc.</w:t>
            </w:r>
          </w:p>
        </w:tc>
      </w:tr>
      <w:tr>
        <w:trPr>
          <w:trHeight w:val="180"/>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Eagle Materials Inc.</w:t>
            </w:r>
          </w:p>
        </w:tc>
        <w:tc>
          <w:tcPr>
            <w:tcW w:w="1740" w:type="dxa"/>
            <w:vAlign w:val="bottom"/>
          </w:tcPr>
          <w:p>
            <w:pPr>
              <w:ind w:left="1620"/>
              <w:spacing w:after="0"/>
              <w:rPr>
                <w:sz w:val="20"/>
                <w:szCs w:val="20"/>
                <w:color w:val="auto"/>
              </w:rPr>
            </w:pPr>
            <w:r>
              <w:rPr>
                <w:rFonts w:ascii="Arial" w:cs="Arial" w:eastAsia="Arial" w:hAnsi="Arial"/>
                <w:sz w:val="12"/>
                <w:szCs w:val="12"/>
                <w:color w:val="auto"/>
              </w:rPr>
              <w:t>•</w:t>
            </w:r>
          </w:p>
        </w:tc>
        <w:tc>
          <w:tcPr>
            <w:tcW w:w="2140" w:type="dxa"/>
            <w:vAlign w:val="bottom"/>
          </w:tcPr>
          <w:p>
            <w:pPr>
              <w:ind w:left="80"/>
              <w:spacing w:after="0"/>
              <w:rPr>
                <w:sz w:val="20"/>
                <w:szCs w:val="20"/>
                <w:color w:val="auto"/>
              </w:rPr>
            </w:pPr>
            <w:r>
              <w:rPr>
                <w:rFonts w:ascii="Arial" w:cs="Arial" w:eastAsia="Arial" w:hAnsi="Arial"/>
                <w:sz w:val="12"/>
                <w:szCs w:val="12"/>
                <w:color w:val="auto"/>
              </w:rPr>
              <w:t>Quaker Chemical Corporation</w:t>
            </w:r>
          </w:p>
        </w:tc>
      </w:tr>
      <w:tr>
        <w:trPr>
          <w:trHeight w:val="180"/>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EnPro Inc.</w:t>
            </w:r>
          </w:p>
        </w:tc>
        <w:tc>
          <w:tcPr>
            <w:tcW w:w="3880" w:type="dxa"/>
            <w:vAlign w:val="bottom"/>
            <w:gridSpan w:val="2"/>
          </w:tcPr>
          <w:p>
            <w:pPr>
              <w:ind w:left="1620"/>
              <w:spacing w:after="0"/>
              <w:rPr>
                <w:sz w:val="20"/>
                <w:szCs w:val="20"/>
                <w:color w:val="auto"/>
              </w:rPr>
            </w:pPr>
            <w:r>
              <w:rPr>
                <w:rFonts w:ascii="Arial" w:cs="Arial" w:eastAsia="Arial" w:hAnsi="Arial"/>
                <w:sz w:val="12"/>
                <w:szCs w:val="12"/>
                <w:color w:val="auto"/>
              </w:rPr>
              <w:t>•   Quanex Building Products Corporation</w:t>
            </w:r>
          </w:p>
        </w:tc>
      </w:tr>
      <w:tr>
        <w:trPr>
          <w:trHeight w:val="180"/>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Gibraltar Industries, Inc.</w:t>
            </w:r>
          </w:p>
        </w:tc>
        <w:tc>
          <w:tcPr>
            <w:tcW w:w="3880" w:type="dxa"/>
            <w:vAlign w:val="bottom"/>
            <w:gridSpan w:val="2"/>
          </w:tcPr>
          <w:p>
            <w:pPr>
              <w:ind w:left="1620"/>
              <w:spacing w:after="0"/>
              <w:rPr>
                <w:sz w:val="20"/>
                <w:szCs w:val="20"/>
                <w:color w:val="auto"/>
              </w:rPr>
            </w:pPr>
            <w:r>
              <w:rPr>
                <w:rFonts w:ascii="Arial" w:cs="Arial" w:eastAsia="Arial" w:hAnsi="Arial"/>
                <w:sz w:val="12"/>
                <w:szCs w:val="12"/>
                <w:color w:val="auto"/>
              </w:rPr>
              <w:t>•   Simpson Manufacturing Co., Inc.</w:t>
            </w:r>
          </w:p>
        </w:tc>
      </w:tr>
      <w:tr>
        <w:trPr>
          <w:trHeight w:val="180"/>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Graco Inc.</w:t>
            </w:r>
          </w:p>
        </w:tc>
        <w:tc>
          <w:tcPr>
            <w:tcW w:w="1740" w:type="dxa"/>
            <w:vAlign w:val="bottom"/>
          </w:tcPr>
          <w:p>
            <w:pPr>
              <w:ind w:left="1620"/>
              <w:spacing w:after="0"/>
              <w:rPr>
                <w:sz w:val="20"/>
                <w:szCs w:val="20"/>
                <w:color w:val="auto"/>
              </w:rPr>
            </w:pPr>
            <w:r>
              <w:rPr>
                <w:rFonts w:ascii="Arial" w:cs="Arial" w:eastAsia="Arial" w:hAnsi="Arial"/>
                <w:sz w:val="12"/>
                <w:szCs w:val="12"/>
                <w:color w:val="auto"/>
              </w:rPr>
              <w:t>•</w:t>
            </w:r>
          </w:p>
        </w:tc>
        <w:tc>
          <w:tcPr>
            <w:tcW w:w="2140" w:type="dxa"/>
            <w:vAlign w:val="bottom"/>
          </w:tcPr>
          <w:p>
            <w:pPr>
              <w:ind w:left="80"/>
              <w:spacing w:after="0"/>
              <w:rPr>
                <w:sz w:val="20"/>
                <w:szCs w:val="20"/>
                <w:color w:val="auto"/>
              </w:rPr>
            </w:pPr>
            <w:r>
              <w:rPr>
                <w:rFonts w:ascii="Arial" w:cs="Arial" w:eastAsia="Arial" w:hAnsi="Arial"/>
                <w:sz w:val="12"/>
                <w:szCs w:val="12"/>
                <w:color w:val="auto"/>
              </w:rPr>
              <w:t>Tennant Company</w:t>
            </w:r>
          </w:p>
        </w:tc>
      </w:tr>
      <w:tr>
        <w:trPr>
          <w:trHeight w:val="180"/>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tcPr>
          <w:p>
            <w:pPr>
              <w:ind w:left="80"/>
              <w:spacing w:after="0"/>
              <w:rPr>
                <w:sz w:val="20"/>
                <w:szCs w:val="20"/>
                <w:color w:val="auto"/>
              </w:rPr>
            </w:pPr>
            <w:r>
              <w:rPr>
                <w:rFonts w:ascii="Arial" w:cs="Arial" w:eastAsia="Arial" w:hAnsi="Arial"/>
                <w:sz w:val="12"/>
                <w:szCs w:val="12"/>
                <w:color w:val="auto"/>
              </w:rPr>
              <w:t>Griffon Corporation</w:t>
            </w:r>
          </w:p>
        </w:tc>
        <w:tc>
          <w:tcPr>
            <w:tcW w:w="1740" w:type="dxa"/>
            <w:vAlign w:val="bottom"/>
          </w:tcPr>
          <w:p>
            <w:pPr>
              <w:ind w:left="1620"/>
              <w:spacing w:after="0"/>
              <w:rPr>
                <w:sz w:val="20"/>
                <w:szCs w:val="20"/>
                <w:color w:val="auto"/>
              </w:rPr>
            </w:pPr>
            <w:r>
              <w:rPr>
                <w:rFonts w:ascii="Arial" w:cs="Arial" w:eastAsia="Arial" w:hAnsi="Arial"/>
                <w:sz w:val="12"/>
                <w:szCs w:val="12"/>
                <w:color w:val="auto"/>
              </w:rPr>
              <w:t>•</w:t>
            </w:r>
          </w:p>
        </w:tc>
        <w:tc>
          <w:tcPr>
            <w:tcW w:w="2140" w:type="dxa"/>
            <w:vAlign w:val="bottom"/>
          </w:tcPr>
          <w:p>
            <w:pPr>
              <w:ind w:left="80"/>
              <w:spacing w:after="0"/>
              <w:rPr>
                <w:sz w:val="20"/>
                <w:szCs w:val="20"/>
                <w:color w:val="auto"/>
              </w:rPr>
            </w:pPr>
            <w:r>
              <w:rPr>
                <w:rFonts w:ascii="Arial" w:cs="Arial" w:eastAsia="Arial" w:hAnsi="Arial"/>
                <w:sz w:val="12"/>
                <w:szCs w:val="12"/>
                <w:color w:val="auto"/>
              </w:rPr>
              <w:t>Trex Company, Inc.</w:t>
            </w:r>
          </w:p>
        </w:tc>
      </w:tr>
    </w:tbl>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added Janus International Group, Inc., Simpson Manufacturing Co., Inc. and Trex Company, Inc., and removed Masonite International Corporation and PGT Innovations, Inc.</w:t>
      </w:r>
    </w:p>
    <w:p>
      <w:pPr>
        <w:spacing w:after="0" w:line="150" w:lineRule="exact"/>
        <w:rPr>
          <w:sz w:val="20"/>
          <w:szCs w:val="20"/>
          <w:color w:val="auto"/>
        </w:rPr>
      </w:pPr>
    </w:p>
    <w:p>
      <w:pPr>
        <w:ind w:left="8"/>
        <w:spacing w:after="0" w:line="286" w:lineRule="auto"/>
        <w:rPr>
          <w:sz w:val="20"/>
          <w:szCs w:val="20"/>
          <w:color w:val="auto"/>
        </w:rPr>
      </w:pPr>
      <w:r>
        <w:rPr>
          <w:rFonts w:ascii="Arial" w:cs="Arial" w:eastAsia="Arial" w:hAnsi="Arial"/>
          <w:sz w:val="12"/>
          <w:szCs w:val="12"/>
          <w:b w:val="1"/>
          <w:bCs w:val="1"/>
          <w:u w:val="single" w:color="auto"/>
          <w:color w:val="auto"/>
        </w:rPr>
        <w:t>Competitive Market</w:t>
      </w:r>
      <w:r>
        <w:rPr>
          <w:rFonts w:ascii="Arial" w:cs="Arial" w:eastAsia="Arial" w:hAnsi="Arial"/>
          <w:sz w:val="12"/>
          <w:szCs w:val="12"/>
          <w:color w:val="auto"/>
        </w:rPr>
        <w:t>. The Committee relies on its independent compensation consultant to help define the appropriate competitive market using a combination of the peer group companies and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surveys that contain market compensation information for similarly-sized organizations. The information on the competitive market is used by the Committee:</w:t>
      </w:r>
    </w:p>
    <w:p>
      <w:pPr>
        <w:spacing w:after="0" w:line="103" w:lineRule="exact"/>
        <w:rPr>
          <w:sz w:val="20"/>
          <w:szCs w:val="20"/>
          <w:color w:val="auto"/>
        </w:rPr>
      </w:pPr>
    </w:p>
    <w:p>
      <w:pPr>
        <w:ind w:left="428" w:hanging="212"/>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As an input in designing our compensation plans and philosophy;</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As an input in assessing and developing base salary adjustments, short-term cash incentive targets and long-term incentive ranges;</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 benchmark the form and mix of long-term incentive awards;</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 assess the competitiveness of total direct compensation awarded to our Named Executive Officers and certain of our other executives; and</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 benchmark dilution and overhang levels (dilutive impact on our shareholders of equity compensation) and annual burn rate (the aggregate shares awarded as a percentage of total outstanding shares).</w:t>
      </w:r>
    </w:p>
    <w:p>
      <w:pPr>
        <w:spacing w:after="0" w:line="200" w:lineRule="exact"/>
        <w:rPr>
          <w:sz w:val="20"/>
          <w:szCs w:val="20"/>
          <w:color w:val="auto"/>
        </w:rPr>
      </w:pPr>
    </w:p>
    <w:p>
      <w:pPr>
        <w:spacing w:after="0" w:line="2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i w:val="1"/>
          <w:iCs w:val="1"/>
          <w:color w:val="auto"/>
        </w:rPr>
        <w:t>Fiscal 2026 Individual Compensation Actions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u w:val="single" w:color="auto"/>
          <w:color w:val="auto"/>
        </w:rPr>
        <w:t>Base Salary</w:t>
      </w:r>
      <w:r>
        <w:rPr>
          <w:rFonts w:ascii="Arial" w:cs="Arial" w:eastAsia="Arial" w:hAnsi="Arial"/>
          <w:sz w:val="12"/>
          <w:szCs w:val="12"/>
          <w:color w:val="auto"/>
        </w:rPr>
        <w:t>. Base salary reflects a fixed portion of the overall compensation package and is the base amount from which certain other compensation elements are determined. In making salary adjustments, the</w:t>
      </w:r>
      <w:r>
        <w:rPr>
          <w:rFonts w:ascii="Arial" w:cs="Arial" w:eastAsia="Arial" w:hAnsi="Arial"/>
          <w:sz w:val="12"/>
          <w:szCs w:val="12"/>
          <w:b w:val="1"/>
          <w:bCs w:val="1"/>
          <w:color w:val="auto"/>
        </w:rPr>
        <w:t xml:space="preserve"> </w:t>
      </w:r>
      <w:r>
        <w:rPr>
          <w:rFonts w:ascii="Arial" w:cs="Arial" w:eastAsia="Arial" w:hAnsi="Arial"/>
          <w:sz w:val="12"/>
          <w:szCs w:val="12"/>
          <w:color w:val="auto"/>
        </w:rPr>
        <w:t>Committee considers the executive’s base salary relative to the market, our compensation philosophy and other factors, such as individual performance against business plans, leadership, initiatives, experience, knowledge and job criticality. For fiscal 2026, Mr. Nolan's base salary was established in the CEO Offer Letter, and Ms. Lakkundi did not receive a base salary increase, because she was hired in January 2025. The returning Named Executive Officers received base salary increases ranging from 1.76% to 4.02% except for Mr. T. Johnson who received an 18.00% increase for his reassignment to the position of President, Architectural Metals Segment, effective August 7, 2025.</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Below is information on the base salaries of our Named Executive Officers for fiscal 2026.</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Base Salary</w:t>
      </w:r>
    </w:p>
    <w:p>
      <w:pPr>
        <w:spacing w:after="0" w:line="2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center"/>
              <w:ind w:right="160"/>
              <w:spacing w:after="0"/>
              <w:rPr>
                <w:sz w:val="20"/>
                <w:szCs w:val="20"/>
                <w:color w:val="auto"/>
              </w:rPr>
            </w:pPr>
            <w:r>
              <w:rPr>
                <w:rFonts w:ascii="Arial" w:cs="Arial" w:eastAsia="Arial" w:hAnsi="Arial"/>
                <w:sz w:val="12"/>
                <w:szCs w:val="12"/>
                <w:b w:val="1"/>
                <w:bCs w:val="1"/>
                <w:color w:val="05445E"/>
                <w:w w:val="99"/>
              </w:rPr>
              <w:t>Percent Increase</w:t>
            </w:r>
          </w:p>
        </w:tc>
      </w:tr>
      <w:tr>
        <w:trPr>
          <w:trHeight w:val="144"/>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05445E"/>
                <w:w w:val="99"/>
              </w:rPr>
              <w:t>Fiscal 2026</w:t>
            </w:r>
          </w:p>
        </w:tc>
        <w:tc>
          <w:tcPr>
            <w:tcW w:w="2220" w:type="dxa"/>
            <w:vAlign w:val="bottom"/>
          </w:tcPr>
          <w:p>
            <w:pPr>
              <w:jc w:val="center"/>
              <w:ind w:right="160"/>
              <w:spacing w:after="0"/>
              <w:rPr>
                <w:sz w:val="20"/>
                <w:szCs w:val="20"/>
                <w:color w:val="auto"/>
              </w:rPr>
            </w:pPr>
            <w:r>
              <w:rPr>
                <w:rFonts w:ascii="Arial" w:cs="Arial" w:eastAsia="Arial" w:hAnsi="Arial"/>
                <w:sz w:val="12"/>
                <w:szCs w:val="12"/>
                <w:b w:val="1"/>
                <w:bCs w:val="1"/>
                <w:color w:val="05445E"/>
                <w:w w:val="99"/>
              </w:rPr>
              <w:t>in Fiscal</w:t>
            </w:r>
          </w:p>
        </w:tc>
      </w:tr>
      <w:tr>
        <w:trPr>
          <w:trHeight w:val="144"/>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05445E"/>
                <w:w w:val="99"/>
              </w:rPr>
              <w:t>Base Salary</w:t>
            </w:r>
          </w:p>
        </w:tc>
        <w:tc>
          <w:tcPr>
            <w:tcW w:w="2220" w:type="dxa"/>
            <w:vAlign w:val="bottom"/>
          </w:tcPr>
          <w:p>
            <w:pPr>
              <w:jc w:val="center"/>
              <w:ind w:right="160"/>
              <w:spacing w:after="0"/>
              <w:rPr>
                <w:sz w:val="20"/>
                <w:szCs w:val="20"/>
                <w:color w:val="auto"/>
              </w:rPr>
            </w:pPr>
            <w:r>
              <w:rPr>
                <w:rFonts w:ascii="Arial" w:cs="Arial" w:eastAsia="Arial" w:hAnsi="Arial"/>
                <w:sz w:val="12"/>
                <w:szCs w:val="12"/>
                <w:b w:val="1"/>
                <w:bCs w:val="1"/>
                <w:color w:val="05445E"/>
                <w:w w:val="98"/>
              </w:rPr>
              <w:t>2026 vs 2025</w:t>
            </w:r>
          </w:p>
        </w:tc>
      </w:tr>
      <w:tr>
        <w:trPr>
          <w:trHeight w:val="170"/>
        </w:trPr>
        <w:tc>
          <w:tcPr>
            <w:tcW w:w="3020" w:type="dxa"/>
            <w:vAlign w:val="bottom"/>
            <w:tcBorders>
              <w:bottom w:val="single" w:sz="8" w:color="929292"/>
            </w:tcBorders>
          </w:tcPr>
          <w:p>
            <w:pPr>
              <w:ind w:left="20"/>
              <w:spacing w:after="0"/>
              <w:rPr>
                <w:sz w:val="20"/>
                <w:szCs w:val="20"/>
                <w:color w:val="auto"/>
              </w:rPr>
            </w:pPr>
            <w:r>
              <w:rPr>
                <w:rFonts w:ascii="Arial" w:cs="Arial" w:eastAsia="Arial" w:hAnsi="Arial"/>
                <w:sz w:val="12"/>
                <w:szCs w:val="12"/>
                <w:b w:val="1"/>
                <w:bCs w:val="1"/>
                <w:color w:val="05445E"/>
              </w:rPr>
              <w:t>Name</w:t>
            </w:r>
          </w:p>
        </w:tc>
        <w:tc>
          <w:tcPr>
            <w:tcW w:w="80" w:type="dxa"/>
            <w:vAlign w:val="bottom"/>
            <w:tcBorders>
              <w:bottom w:val="single" w:sz="8" w:color="D9D9D9"/>
            </w:tcBorders>
          </w:tcPr>
          <w:p>
            <w:pPr>
              <w:spacing w:after="0"/>
              <w:rPr>
                <w:sz w:val="14"/>
                <w:szCs w:val="14"/>
                <w:color w:val="auto"/>
              </w:rPr>
            </w:pPr>
          </w:p>
        </w:tc>
        <w:tc>
          <w:tcPr>
            <w:tcW w:w="2220" w:type="dxa"/>
            <w:vAlign w:val="bottom"/>
            <w:tcBorders>
              <w:bottom w:val="single" w:sz="8" w:color="929292"/>
            </w:tcBorders>
          </w:tcPr>
          <w:p>
            <w:pPr>
              <w:jc w:val="center"/>
              <w:ind w:right="180"/>
              <w:spacing w:after="0"/>
              <w:rPr>
                <w:sz w:val="20"/>
                <w:szCs w:val="20"/>
                <w:color w:val="auto"/>
              </w:rPr>
            </w:pPr>
            <w:r>
              <w:rPr>
                <w:rFonts w:ascii="Arial" w:cs="Arial" w:eastAsia="Arial" w:hAnsi="Arial"/>
                <w:sz w:val="12"/>
                <w:szCs w:val="12"/>
                <w:b w:val="1"/>
                <w:bCs w:val="1"/>
                <w:color w:val="05445E"/>
                <w:w w:val="95"/>
              </w:rPr>
              <w:t>($)</w:t>
            </w:r>
          </w:p>
        </w:tc>
        <w:tc>
          <w:tcPr>
            <w:tcW w:w="80" w:type="dxa"/>
            <w:vAlign w:val="bottom"/>
            <w:tcBorders>
              <w:bottom w:val="single" w:sz="8" w:color="D9D9D9"/>
            </w:tcBorders>
          </w:tcPr>
          <w:p>
            <w:pPr>
              <w:spacing w:after="0"/>
              <w:rPr>
                <w:sz w:val="14"/>
                <w:szCs w:val="14"/>
                <w:color w:val="auto"/>
              </w:rPr>
            </w:pPr>
          </w:p>
        </w:tc>
        <w:tc>
          <w:tcPr>
            <w:tcW w:w="2220" w:type="dxa"/>
            <w:vAlign w:val="bottom"/>
            <w:tcBorders>
              <w:bottom w:val="single" w:sz="8" w:color="929292"/>
            </w:tcBorders>
          </w:tcPr>
          <w:p>
            <w:pPr>
              <w:jc w:val="center"/>
              <w:ind w:right="160"/>
              <w:spacing w:after="0"/>
              <w:rPr>
                <w:sz w:val="20"/>
                <w:szCs w:val="20"/>
                <w:color w:val="auto"/>
              </w:rPr>
            </w:pPr>
            <w:r>
              <w:rPr>
                <w:rFonts w:ascii="Arial" w:cs="Arial" w:eastAsia="Arial" w:hAnsi="Arial"/>
                <w:sz w:val="12"/>
                <w:szCs w:val="12"/>
                <w:b w:val="1"/>
                <w:bCs w:val="1"/>
                <w:color w:val="05445E"/>
              </w:rPr>
              <w:t>(%)</w:t>
            </w:r>
          </w:p>
        </w:tc>
      </w:tr>
      <w:tr>
        <w:trPr>
          <w:trHeight w:val="174"/>
        </w:trPr>
        <w:tc>
          <w:tcPr>
            <w:tcW w:w="310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(1)</w:t>
            </w:r>
          </w:p>
        </w:tc>
        <w:tc>
          <w:tcPr>
            <w:tcW w:w="2220" w:type="dxa"/>
            <w:vAlign w:val="bottom"/>
            <w:shd w:val="clear" w:color="auto" w:fill="D9D9D9"/>
          </w:tcPr>
          <w:p>
            <w:pPr>
              <w:jc w:val="right"/>
              <w:ind w:right="460"/>
              <w:spacing w:after="0"/>
              <w:rPr>
                <w:sz w:val="20"/>
                <w:szCs w:val="20"/>
                <w:color w:val="auto"/>
              </w:rPr>
            </w:pPr>
            <w:r>
              <w:rPr>
                <w:rFonts w:ascii="Arial" w:cs="Arial" w:eastAsia="Arial" w:hAnsi="Arial"/>
                <w:sz w:val="12"/>
                <w:szCs w:val="12"/>
                <w:color w:val="auto"/>
              </w:rPr>
              <w:t>925,000</w:t>
            </w:r>
          </w:p>
        </w:tc>
        <w:tc>
          <w:tcPr>
            <w:tcW w:w="80" w:type="dxa"/>
            <w:vAlign w:val="bottom"/>
            <w:shd w:val="clear" w:color="auto" w:fill="D9D9D9"/>
          </w:tcPr>
          <w:p>
            <w:pPr>
              <w:spacing w:after="0"/>
              <w:rPr>
                <w:sz w:val="15"/>
                <w:szCs w:val="15"/>
                <w:color w:val="auto"/>
              </w:rPr>
            </w:pPr>
          </w:p>
        </w:tc>
        <w:tc>
          <w:tcPr>
            <w:tcW w:w="2220" w:type="dxa"/>
            <w:vAlign w:val="bottom"/>
            <w:shd w:val="clear" w:color="auto" w:fill="D9D9D9"/>
          </w:tcPr>
          <w:p>
            <w:pPr>
              <w:jc w:val="center"/>
              <w:ind w:right="160"/>
              <w:spacing w:after="0"/>
              <w:rPr>
                <w:sz w:val="20"/>
                <w:szCs w:val="20"/>
                <w:color w:val="auto"/>
              </w:rPr>
            </w:pPr>
            <w:r>
              <w:rPr>
                <w:rFonts w:ascii="Arial" w:cs="Arial" w:eastAsia="Arial" w:hAnsi="Arial"/>
                <w:sz w:val="12"/>
                <w:szCs w:val="12"/>
                <w:color w:val="auto"/>
                <w:w w:val="99"/>
              </w:rPr>
              <w:t>—</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2"/>
                <w:szCs w:val="12"/>
                <w:color w:val="auto"/>
              </w:rPr>
              <w:t>Mark R. Augdahl</w:t>
            </w:r>
            <w:r>
              <w:rPr>
                <w:rFonts w:ascii="Arial" w:cs="Arial" w:eastAsia="Arial" w:hAnsi="Arial"/>
                <w:sz w:val="15"/>
                <w:szCs w:val="15"/>
                <w:color w:val="auto"/>
                <w:vertAlign w:val="superscript"/>
              </w:rPr>
              <w:t>(2)</w:t>
            </w:r>
          </w:p>
        </w:tc>
        <w:tc>
          <w:tcPr>
            <w:tcW w:w="2220" w:type="dxa"/>
            <w:vAlign w:val="bottom"/>
          </w:tcPr>
          <w:p>
            <w:pPr>
              <w:jc w:val="right"/>
              <w:ind w:right="460"/>
              <w:spacing w:after="0"/>
              <w:rPr>
                <w:sz w:val="20"/>
                <w:szCs w:val="20"/>
                <w:color w:val="auto"/>
              </w:rPr>
            </w:pPr>
            <w:r>
              <w:rPr>
                <w:rFonts w:ascii="Arial" w:cs="Arial" w:eastAsia="Arial" w:hAnsi="Arial"/>
                <w:sz w:val="12"/>
                <w:szCs w:val="12"/>
                <w:color w:val="auto"/>
              </w:rPr>
              <w:t>550,000</w:t>
            </w:r>
          </w:p>
        </w:tc>
        <w:tc>
          <w:tcPr>
            <w:tcW w:w="80" w:type="dxa"/>
            <w:vAlign w:val="bottom"/>
          </w:tcPr>
          <w:p>
            <w:pPr>
              <w:spacing w:after="0"/>
              <w:rPr>
                <w:sz w:val="15"/>
                <w:szCs w:val="15"/>
                <w:color w:val="auto"/>
              </w:rPr>
            </w:pPr>
          </w:p>
        </w:tc>
        <w:tc>
          <w:tcPr>
            <w:tcW w:w="2220" w:type="dxa"/>
            <w:vAlign w:val="bottom"/>
          </w:tcPr>
          <w:p>
            <w:pPr>
              <w:jc w:val="center"/>
              <w:ind w:right="160"/>
              <w:spacing w:after="0"/>
              <w:rPr>
                <w:sz w:val="20"/>
                <w:szCs w:val="20"/>
                <w:color w:val="auto"/>
              </w:rPr>
            </w:pPr>
            <w:r>
              <w:rPr>
                <w:rFonts w:ascii="Arial" w:cs="Arial" w:eastAsia="Arial" w:hAnsi="Arial"/>
                <w:sz w:val="12"/>
                <w:szCs w:val="12"/>
                <w:color w:val="auto"/>
                <w:w w:val="99"/>
              </w:rPr>
              <w:t>—</w:t>
            </w:r>
          </w:p>
        </w:tc>
      </w:tr>
      <w:tr>
        <w:trPr>
          <w:trHeight w:val="180"/>
        </w:trPr>
        <w:tc>
          <w:tcPr>
            <w:tcW w:w="310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Troy R. Johnson</w:t>
            </w:r>
          </w:p>
        </w:tc>
        <w:tc>
          <w:tcPr>
            <w:tcW w:w="2220" w:type="dxa"/>
            <w:vAlign w:val="bottom"/>
            <w:shd w:val="clear" w:color="auto" w:fill="D9D9D9"/>
          </w:tcPr>
          <w:p>
            <w:pPr>
              <w:jc w:val="right"/>
              <w:ind w:right="460"/>
              <w:spacing w:after="0"/>
              <w:rPr>
                <w:sz w:val="20"/>
                <w:szCs w:val="20"/>
                <w:color w:val="auto"/>
              </w:rPr>
            </w:pPr>
            <w:r>
              <w:rPr>
                <w:rFonts w:ascii="Arial" w:cs="Arial" w:eastAsia="Arial" w:hAnsi="Arial"/>
                <w:sz w:val="12"/>
                <w:szCs w:val="12"/>
                <w:color w:val="auto"/>
              </w:rPr>
              <w:t>505,050</w:t>
            </w:r>
          </w:p>
        </w:tc>
        <w:tc>
          <w:tcPr>
            <w:tcW w:w="80" w:type="dxa"/>
            <w:vAlign w:val="bottom"/>
            <w:shd w:val="clear" w:color="auto" w:fill="D9D9D9"/>
          </w:tcPr>
          <w:p>
            <w:pPr>
              <w:spacing w:after="0"/>
              <w:rPr>
                <w:sz w:val="15"/>
                <w:szCs w:val="15"/>
                <w:color w:val="auto"/>
              </w:rPr>
            </w:pPr>
          </w:p>
        </w:tc>
        <w:tc>
          <w:tcPr>
            <w:tcW w:w="2220" w:type="dxa"/>
            <w:vAlign w:val="bottom"/>
            <w:shd w:val="clear" w:color="auto" w:fill="D9D9D9"/>
          </w:tcPr>
          <w:p>
            <w:pPr>
              <w:jc w:val="right"/>
              <w:ind w:right="600"/>
              <w:spacing w:after="0"/>
              <w:rPr>
                <w:sz w:val="20"/>
                <w:szCs w:val="20"/>
                <w:color w:val="auto"/>
              </w:rPr>
            </w:pPr>
            <w:r>
              <w:rPr>
                <w:rFonts w:ascii="Arial" w:cs="Arial" w:eastAsia="Arial" w:hAnsi="Arial"/>
                <w:sz w:val="12"/>
                <w:szCs w:val="12"/>
                <w:color w:val="auto"/>
              </w:rPr>
              <w:t>18.00</w:t>
            </w:r>
          </w:p>
        </w:tc>
      </w:tr>
      <w:tr>
        <w:trPr>
          <w:trHeight w:val="172"/>
        </w:trPr>
        <w:tc>
          <w:tcPr>
            <w:tcW w:w="3100" w:type="dxa"/>
            <w:vAlign w:val="bottom"/>
            <w:gridSpan w:val="2"/>
          </w:tcPr>
          <w:p>
            <w:pPr>
              <w:ind w:left="20"/>
              <w:spacing w:after="0"/>
              <w:rPr>
                <w:sz w:val="20"/>
                <w:szCs w:val="20"/>
                <w:color w:val="auto"/>
              </w:rPr>
            </w:pPr>
            <w:r>
              <w:rPr>
                <w:rFonts w:ascii="Arial" w:cs="Arial" w:eastAsia="Arial" w:hAnsi="Arial"/>
                <w:sz w:val="12"/>
                <w:szCs w:val="12"/>
                <w:color w:val="auto"/>
              </w:rPr>
              <w:t>Veena M. Lakkundi</w:t>
            </w:r>
          </w:p>
        </w:tc>
        <w:tc>
          <w:tcPr>
            <w:tcW w:w="2220" w:type="dxa"/>
            <w:vAlign w:val="bottom"/>
          </w:tcPr>
          <w:p>
            <w:pPr>
              <w:jc w:val="right"/>
              <w:ind w:right="460"/>
              <w:spacing w:after="0"/>
              <w:rPr>
                <w:sz w:val="20"/>
                <w:szCs w:val="20"/>
                <w:color w:val="auto"/>
              </w:rPr>
            </w:pPr>
            <w:r>
              <w:rPr>
                <w:rFonts w:ascii="Arial" w:cs="Arial" w:eastAsia="Arial" w:hAnsi="Arial"/>
                <w:sz w:val="12"/>
                <w:szCs w:val="12"/>
                <w:color w:val="auto"/>
              </w:rPr>
              <w:t>550,000</w:t>
            </w:r>
          </w:p>
        </w:tc>
        <w:tc>
          <w:tcPr>
            <w:tcW w:w="80" w:type="dxa"/>
            <w:vAlign w:val="bottom"/>
          </w:tcPr>
          <w:p>
            <w:pPr>
              <w:spacing w:after="0"/>
              <w:rPr>
                <w:sz w:val="14"/>
                <w:szCs w:val="14"/>
                <w:color w:val="auto"/>
              </w:rPr>
            </w:pPr>
          </w:p>
        </w:tc>
        <w:tc>
          <w:tcPr>
            <w:tcW w:w="2220" w:type="dxa"/>
            <w:vAlign w:val="bottom"/>
          </w:tcPr>
          <w:p>
            <w:pPr>
              <w:jc w:val="center"/>
              <w:ind w:right="160"/>
              <w:spacing w:after="0"/>
              <w:rPr>
                <w:sz w:val="20"/>
                <w:szCs w:val="20"/>
                <w:color w:val="auto"/>
              </w:rPr>
            </w:pPr>
            <w:r>
              <w:rPr>
                <w:rFonts w:ascii="Arial" w:cs="Arial" w:eastAsia="Arial" w:hAnsi="Arial"/>
                <w:sz w:val="12"/>
                <w:szCs w:val="12"/>
                <w:color w:val="auto"/>
                <w:w w:val="99"/>
              </w:rPr>
              <w:t>—</w:t>
            </w:r>
          </w:p>
        </w:tc>
      </w:tr>
      <w:tr>
        <w:trPr>
          <w:trHeight w:val="188"/>
        </w:trPr>
        <w:tc>
          <w:tcPr>
            <w:tcW w:w="310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Brent C. Jewell</w:t>
            </w:r>
          </w:p>
        </w:tc>
        <w:tc>
          <w:tcPr>
            <w:tcW w:w="2220" w:type="dxa"/>
            <w:vAlign w:val="bottom"/>
            <w:shd w:val="clear" w:color="auto" w:fill="D9D9D9"/>
          </w:tcPr>
          <w:p>
            <w:pPr>
              <w:jc w:val="right"/>
              <w:ind w:right="460"/>
              <w:spacing w:after="0"/>
              <w:rPr>
                <w:sz w:val="20"/>
                <w:szCs w:val="20"/>
                <w:color w:val="auto"/>
              </w:rPr>
            </w:pPr>
            <w:r>
              <w:rPr>
                <w:rFonts w:ascii="Arial" w:cs="Arial" w:eastAsia="Arial" w:hAnsi="Arial"/>
                <w:sz w:val="12"/>
                <w:szCs w:val="12"/>
                <w:color w:val="auto"/>
              </w:rPr>
              <w:t>463,000</w:t>
            </w:r>
          </w:p>
        </w:tc>
        <w:tc>
          <w:tcPr>
            <w:tcW w:w="80" w:type="dxa"/>
            <w:vAlign w:val="bottom"/>
            <w:shd w:val="clear" w:color="auto" w:fill="D9D9D9"/>
          </w:tcPr>
          <w:p>
            <w:pPr>
              <w:spacing w:after="0"/>
              <w:rPr>
                <w:sz w:val="16"/>
                <w:szCs w:val="16"/>
                <w:color w:val="auto"/>
              </w:rPr>
            </w:pPr>
          </w:p>
        </w:tc>
        <w:tc>
          <w:tcPr>
            <w:tcW w:w="2220" w:type="dxa"/>
            <w:vAlign w:val="bottom"/>
            <w:shd w:val="clear" w:color="auto" w:fill="D9D9D9"/>
          </w:tcPr>
          <w:p>
            <w:pPr>
              <w:jc w:val="right"/>
              <w:ind w:right="600"/>
              <w:spacing w:after="0"/>
              <w:rPr>
                <w:sz w:val="20"/>
                <w:szCs w:val="20"/>
                <w:color w:val="auto"/>
              </w:rPr>
            </w:pPr>
            <w:r>
              <w:rPr>
                <w:rFonts w:ascii="Arial" w:cs="Arial" w:eastAsia="Arial" w:hAnsi="Arial"/>
                <w:sz w:val="12"/>
                <w:szCs w:val="12"/>
                <w:color w:val="auto"/>
              </w:rPr>
              <w:t>1.76</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(3)</w:t>
            </w:r>
          </w:p>
        </w:tc>
        <w:tc>
          <w:tcPr>
            <w:tcW w:w="2220" w:type="dxa"/>
            <w:vAlign w:val="bottom"/>
          </w:tcPr>
          <w:p>
            <w:pPr>
              <w:jc w:val="right"/>
              <w:ind w:right="460"/>
              <w:spacing w:after="0"/>
              <w:rPr>
                <w:sz w:val="20"/>
                <w:szCs w:val="20"/>
                <w:color w:val="auto"/>
              </w:rPr>
            </w:pPr>
            <w:r>
              <w:rPr>
                <w:rFonts w:ascii="Arial" w:cs="Arial" w:eastAsia="Arial" w:hAnsi="Arial"/>
                <w:sz w:val="12"/>
                <w:szCs w:val="12"/>
                <w:color w:val="auto"/>
              </w:rPr>
              <w:t>932,000</w:t>
            </w:r>
          </w:p>
        </w:tc>
        <w:tc>
          <w:tcPr>
            <w:tcW w:w="80" w:type="dxa"/>
            <w:vAlign w:val="bottom"/>
          </w:tcPr>
          <w:p>
            <w:pPr>
              <w:spacing w:after="0"/>
              <w:rPr>
                <w:sz w:val="15"/>
                <w:szCs w:val="15"/>
                <w:color w:val="auto"/>
              </w:rPr>
            </w:pPr>
          </w:p>
        </w:tc>
        <w:tc>
          <w:tcPr>
            <w:tcW w:w="2220" w:type="dxa"/>
            <w:vAlign w:val="bottom"/>
          </w:tcPr>
          <w:p>
            <w:pPr>
              <w:jc w:val="center"/>
              <w:ind w:right="160"/>
              <w:spacing w:after="0"/>
              <w:rPr>
                <w:sz w:val="20"/>
                <w:szCs w:val="20"/>
                <w:color w:val="auto"/>
              </w:rPr>
            </w:pPr>
            <w:r>
              <w:rPr>
                <w:rFonts w:ascii="Arial" w:cs="Arial" w:eastAsia="Arial" w:hAnsi="Arial"/>
                <w:sz w:val="12"/>
                <w:szCs w:val="12"/>
                <w:color w:val="auto"/>
                <w:w w:val="99"/>
              </w:rPr>
              <w:t>—</w:t>
            </w:r>
          </w:p>
        </w:tc>
      </w:tr>
      <w:tr>
        <w:trPr>
          <w:trHeight w:val="180"/>
        </w:trPr>
        <w:tc>
          <w:tcPr>
            <w:tcW w:w="310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(4)</w:t>
            </w:r>
          </w:p>
        </w:tc>
        <w:tc>
          <w:tcPr>
            <w:tcW w:w="2220" w:type="dxa"/>
            <w:vAlign w:val="bottom"/>
            <w:shd w:val="clear" w:color="auto" w:fill="D9D9D9"/>
          </w:tcPr>
          <w:p>
            <w:pPr>
              <w:jc w:val="right"/>
              <w:ind w:right="460"/>
              <w:spacing w:after="0"/>
              <w:rPr>
                <w:sz w:val="20"/>
                <w:szCs w:val="20"/>
                <w:color w:val="auto"/>
              </w:rPr>
            </w:pPr>
            <w:r>
              <w:rPr>
                <w:rFonts w:ascii="Arial" w:cs="Arial" w:eastAsia="Arial" w:hAnsi="Arial"/>
                <w:sz w:val="12"/>
                <w:szCs w:val="12"/>
                <w:color w:val="auto"/>
              </w:rPr>
              <w:t>672,000</w:t>
            </w:r>
          </w:p>
        </w:tc>
        <w:tc>
          <w:tcPr>
            <w:tcW w:w="80" w:type="dxa"/>
            <w:vAlign w:val="bottom"/>
            <w:shd w:val="clear" w:color="auto" w:fill="D9D9D9"/>
          </w:tcPr>
          <w:p>
            <w:pPr>
              <w:spacing w:after="0"/>
              <w:rPr>
                <w:sz w:val="15"/>
                <w:szCs w:val="15"/>
                <w:color w:val="auto"/>
              </w:rPr>
            </w:pPr>
          </w:p>
        </w:tc>
        <w:tc>
          <w:tcPr>
            <w:tcW w:w="2220" w:type="dxa"/>
            <w:vAlign w:val="bottom"/>
            <w:shd w:val="clear" w:color="auto" w:fill="D9D9D9"/>
          </w:tcPr>
          <w:p>
            <w:pPr>
              <w:jc w:val="right"/>
              <w:ind w:right="600"/>
              <w:spacing w:after="0"/>
              <w:rPr>
                <w:sz w:val="20"/>
                <w:szCs w:val="20"/>
                <w:color w:val="auto"/>
              </w:rPr>
            </w:pPr>
            <w:r>
              <w:rPr>
                <w:rFonts w:ascii="Arial" w:cs="Arial" w:eastAsia="Arial" w:hAnsi="Arial"/>
                <w:sz w:val="12"/>
                <w:szCs w:val="12"/>
                <w:color w:val="auto"/>
              </w:rPr>
              <w:t>4.02</w:t>
            </w:r>
          </w:p>
        </w:tc>
      </w:tr>
    </w:tbl>
    <w:p>
      <w:pPr>
        <w:spacing w:after="0" w:line="127" w:lineRule="exact"/>
        <w:rPr>
          <w:sz w:val="20"/>
          <w:szCs w:val="20"/>
          <w:color w:val="auto"/>
        </w:rPr>
      </w:pPr>
    </w:p>
    <w:p>
      <w:pPr>
        <w:ind w:left="640"/>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960" w:hanging="320"/>
        <w:spacing w:after="0" w:line="286" w:lineRule="auto"/>
        <w:tabs>
          <w:tab w:leader="none" w:pos="954"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Nolan was appointed as our Chief Executive Officer and Executive Chair of the Board of Directors at the close of business on October 31, 2025, during fiscal 2026. His fiscal 2026 base salary, as presented above, became effective on that date.</w:t>
      </w:r>
    </w:p>
    <w:p>
      <w:pPr>
        <w:spacing w:after="0" w:line="31" w:lineRule="exact"/>
        <w:rPr>
          <w:rFonts w:ascii="Arial" w:cs="Arial" w:eastAsia="Arial" w:hAnsi="Arial"/>
          <w:sz w:val="12"/>
          <w:szCs w:val="12"/>
          <w:color w:val="auto"/>
        </w:rPr>
      </w:pPr>
    </w:p>
    <w:p>
      <w:pPr>
        <w:ind w:left="960" w:hanging="320"/>
        <w:spacing w:after="0" w:line="286" w:lineRule="auto"/>
        <w:tabs>
          <w:tab w:leader="none" w:pos="954"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Augdahl was elected as Executive Vice President and Chief Financial Officer on January 19, 2026. His fiscal 2026 base salary, as presented above, became effective on that date and reflects an adjustment to keep it market competitive with comparable roles within the compensation peer group.</w:t>
      </w:r>
    </w:p>
    <w:p>
      <w:pPr>
        <w:spacing w:after="0" w:line="31" w:lineRule="exact"/>
        <w:rPr>
          <w:rFonts w:ascii="Arial" w:cs="Arial" w:eastAsia="Arial" w:hAnsi="Arial"/>
          <w:sz w:val="12"/>
          <w:szCs w:val="12"/>
          <w:color w:val="auto"/>
        </w:rPr>
      </w:pPr>
    </w:p>
    <w:p>
      <w:pPr>
        <w:ind w:left="960" w:hanging="320"/>
        <w:spacing w:after="0"/>
        <w:tabs>
          <w:tab w:leader="none" w:pos="9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during fiscal 2026.</w:t>
      </w:r>
    </w:p>
    <w:p>
      <w:pPr>
        <w:spacing w:after="0" w:line="78" w:lineRule="exact"/>
        <w:rPr>
          <w:rFonts w:ascii="Arial" w:cs="Arial" w:eastAsia="Arial" w:hAnsi="Arial"/>
          <w:sz w:val="12"/>
          <w:szCs w:val="12"/>
          <w:color w:val="auto"/>
        </w:rPr>
      </w:pPr>
    </w:p>
    <w:p>
      <w:pPr>
        <w:ind w:left="960" w:hanging="320"/>
        <w:spacing w:after="0"/>
        <w:tabs>
          <w:tab w:leader="none" w:pos="9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during fiscal 2026.</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u w:val="single" w:color="auto"/>
          <w:color w:val="auto"/>
        </w:rPr>
        <w:t>Short-Term Cash Incentive Compensation</w:t>
      </w:r>
      <w:r>
        <w:rPr>
          <w:rFonts w:ascii="Arial" w:cs="Arial" w:eastAsia="Arial" w:hAnsi="Arial"/>
          <w:sz w:val="12"/>
          <w:szCs w:val="12"/>
          <w:color w:val="auto"/>
        </w:rPr>
        <w:t>. Short-term cash incentive awards create an incentive for achievement of annual financial performance results. These results are measured against objective financial</w:t>
      </w:r>
      <w:r>
        <w:rPr>
          <w:rFonts w:ascii="Arial" w:cs="Arial" w:eastAsia="Arial" w:hAnsi="Arial"/>
          <w:sz w:val="12"/>
          <w:szCs w:val="12"/>
          <w:b w:val="1"/>
          <w:bCs w:val="1"/>
          <w:color w:val="auto"/>
        </w:rPr>
        <w:t xml:space="preserve"> </w:t>
      </w:r>
      <w:r>
        <w:rPr>
          <w:rFonts w:ascii="Arial" w:cs="Arial" w:eastAsia="Arial" w:hAnsi="Arial"/>
          <w:sz w:val="12"/>
          <w:szCs w:val="12"/>
          <w:color w:val="auto"/>
        </w:rPr>
        <w:t>goals based on the annual operating plan approved by our Board of Directors.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awards may be earned below or above target based on the achievement of one or more additional predetermined, objective performance goals based on the annual operating plan approved by our Board of Directors. At least one of the predetermined, objective performance goals must be met at the threshold level in order for any short-term cash incentive to be paid to an executive.</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Generally, if actual results are below threshold performance level for all performance goals or the Company is not profitable, the payout will be zero. If the threshold performance level for one or more, but not all, performance goals is achieved, less than 50% of the target award will be earned based on the weighting allocated to that specific performance goal. If the threshold performance level for all performance goals is achieved, 50% of the target award will be earned; if target performance level for all performance goals is achieved, 100% of the target award will be earned; and if maximum performance level for all performance goals is achieved, 200% of the target award will be earned. For any performance between these levels, award payouts will be interpolated.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46" w:name="page47"/>
    <w:bookmarkEnd w:id="46"/>
    <w:p>
      <w:pPr>
        <w:ind w:left="8" w:right="20"/>
        <w:spacing w:after="0" w:line="286" w:lineRule="auto"/>
        <w:rPr>
          <w:sz w:val="20"/>
          <w:szCs w:val="20"/>
          <w:color w:val="auto"/>
        </w:rPr>
      </w:pPr>
      <w:r>
        <w:rPr>
          <w:rFonts w:ascii="Arial" w:cs="Arial" w:eastAsia="Arial" w:hAnsi="Arial"/>
          <w:sz w:val="12"/>
          <w:szCs w:val="12"/>
          <w:b w:val="1"/>
          <w:bCs w:val="1"/>
          <w:u w:val="single" w:color="auto"/>
          <w:color w:val="auto"/>
        </w:rPr>
        <w:t>Fiscal 2026 Short-Term Cash Incentive Payouts</w:t>
      </w:r>
      <w:r>
        <w:rPr>
          <w:rFonts w:ascii="Arial" w:cs="Arial" w:eastAsia="Arial" w:hAnsi="Arial"/>
          <w:sz w:val="12"/>
          <w:szCs w:val="12"/>
          <w:color w:val="auto"/>
        </w:rPr>
        <w:t>. The tables below set forth certain information with respect to the fiscal 2026 short-term cash incentive award payout ranges as a percentage of the fiscal 2026</w:t>
      </w:r>
      <w:r>
        <w:rPr>
          <w:rFonts w:ascii="Arial" w:cs="Arial" w:eastAsia="Arial" w:hAnsi="Arial"/>
          <w:sz w:val="12"/>
          <w:szCs w:val="12"/>
          <w:b w:val="1"/>
          <w:bCs w:val="1"/>
          <w:color w:val="auto"/>
        </w:rPr>
        <w:t xml:space="preserve"> </w:t>
      </w:r>
      <w:r>
        <w:rPr>
          <w:rFonts w:ascii="Arial" w:cs="Arial" w:eastAsia="Arial" w:hAnsi="Arial"/>
          <w:sz w:val="12"/>
          <w:szCs w:val="12"/>
          <w:color w:val="auto"/>
        </w:rPr>
        <w:t>salary for our Named Executive Officers.</w:t>
      </w:r>
    </w:p>
    <w:p>
      <w:pPr>
        <w:spacing w:after="0" w:line="139" w:lineRule="exact"/>
        <w:rPr>
          <w:sz w:val="20"/>
          <w:szCs w:val="20"/>
          <w:color w:val="auto"/>
        </w:rPr>
      </w:pPr>
    </w:p>
    <w:tbl>
      <w:tblPr>
        <w:tblLayout w:type="fixed"/>
        <w:tblInd w:w="328" w:type="dxa"/>
        <w:tblCellMar>
          <w:top w:w="0" w:type="dxa"/>
          <w:left w:w="0" w:type="dxa"/>
          <w:bottom w:w="0" w:type="dxa"/>
          <w:right w:w="0" w:type="dxa"/>
        </w:tblCellMar>
      </w:tblPr>
      <w:tr>
        <w:trPr>
          <w:trHeight w:val="170"/>
        </w:trPr>
        <w:tc>
          <w:tcPr>
            <w:tcW w:w="2100" w:type="dxa"/>
            <w:vAlign w:val="bottom"/>
            <w:tcBorders>
              <w:bottom w:val="single" w:sz="8" w:color="6D6D6D"/>
            </w:tcBorders>
          </w:tcPr>
          <w:p>
            <w:pPr>
              <w:spacing w:after="0"/>
              <w:rPr>
                <w:sz w:val="14"/>
                <w:szCs w:val="14"/>
                <w:color w:val="auto"/>
              </w:rPr>
            </w:pPr>
          </w:p>
        </w:tc>
        <w:tc>
          <w:tcPr>
            <w:tcW w:w="6800" w:type="dxa"/>
            <w:vAlign w:val="bottom"/>
            <w:tcBorders>
              <w:bottom w:val="single" w:sz="8" w:color="6D6D6D"/>
            </w:tcBorders>
            <w:gridSpan w:val="4"/>
          </w:tcPr>
          <w:p>
            <w:pPr>
              <w:ind w:left="1000"/>
              <w:spacing w:after="0"/>
              <w:rPr>
                <w:sz w:val="20"/>
                <w:szCs w:val="20"/>
                <w:color w:val="auto"/>
              </w:rPr>
            </w:pPr>
            <w:r>
              <w:rPr>
                <w:rFonts w:ascii="Arial" w:cs="Arial" w:eastAsia="Arial" w:hAnsi="Arial"/>
                <w:sz w:val="12"/>
                <w:szCs w:val="12"/>
                <w:b w:val="1"/>
                <w:bCs w:val="1"/>
                <w:color w:val="auto"/>
              </w:rPr>
              <w:t>2026 Short-Term Cash Incentive Compensation</w:t>
            </w:r>
          </w:p>
        </w:tc>
      </w:tr>
      <w:tr>
        <w:trPr>
          <w:trHeight w:val="143"/>
        </w:trPr>
        <w:tc>
          <w:tcPr>
            <w:tcW w:w="2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05445E"/>
                <w:w w:val="99"/>
              </w:rPr>
              <w:t>Target Payout</w:t>
            </w:r>
          </w:p>
        </w:tc>
      </w:tr>
      <w:tr>
        <w:trPr>
          <w:trHeight w:val="144"/>
        </w:trPr>
        <w:tc>
          <w:tcPr>
            <w:tcW w:w="2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05445E"/>
              </w:rPr>
              <w:t>as a Percentage</w:t>
            </w:r>
          </w:p>
        </w:tc>
      </w:tr>
      <w:tr>
        <w:trPr>
          <w:trHeight w:val="144"/>
        </w:trPr>
        <w:tc>
          <w:tcPr>
            <w:tcW w:w="2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05445E"/>
              </w:rPr>
              <w:t>of Fiscal 2026</w:t>
            </w:r>
          </w:p>
        </w:tc>
      </w:tr>
      <w:tr>
        <w:trPr>
          <w:trHeight w:val="144"/>
        </w:trPr>
        <w:tc>
          <w:tcPr>
            <w:tcW w:w="2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05445E"/>
                <w:w w:val="99"/>
              </w:rPr>
              <w:t>Salary</w:t>
            </w:r>
          </w:p>
        </w:tc>
      </w:tr>
      <w:tr>
        <w:trPr>
          <w:trHeight w:val="170"/>
        </w:trPr>
        <w:tc>
          <w:tcPr>
            <w:tcW w:w="2100" w:type="dxa"/>
            <w:vAlign w:val="bottom"/>
            <w:tcBorders>
              <w:bottom w:val="single" w:sz="8" w:color="6D6D6D"/>
            </w:tcBorders>
          </w:tcPr>
          <w:p>
            <w:pPr>
              <w:spacing w:after="0"/>
              <w:rPr>
                <w:sz w:val="20"/>
                <w:szCs w:val="20"/>
                <w:color w:val="auto"/>
              </w:rPr>
            </w:pPr>
            <w:r>
              <w:rPr>
                <w:rFonts w:ascii="Arial" w:cs="Arial" w:eastAsia="Arial" w:hAnsi="Arial"/>
                <w:sz w:val="12"/>
                <w:szCs w:val="12"/>
                <w:b w:val="1"/>
                <w:bCs w:val="1"/>
                <w:color w:val="05445E"/>
              </w:rPr>
              <w:t>Name</w:t>
            </w:r>
          </w:p>
        </w:tc>
        <w:tc>
          <w:tcPr>
            <w:tcW w:w="2640" w:type="dxa"/>
            <w:vAlign w:val="bottom"/>
            <w:tcBorders>
              <w:bottom w:val="single" w:sz="8" w:color="6D6D6D"/>
            </w:tcBorders>
          </w:tcPr>
          <w:p>
            <w:pPr>
              <w:spacing w:after="0"/>
              <w:rPr>
                <w:sz w:val="14"/>
                <w:szCs w:val="14"/>
                <w:color w:val="auto"/>
              </w:rPr>
            </w:pPr>
          </w:p>
        </w:tc>
        <w:tc>
          <w:tcPr>
            <w:tcW w:w="340" w:type="dxa"/>
            <w:vAlign w:val="bottom"/>
            <w:tcBorders>
              <w:bottom w:val="single" w:sz="8" w:color="DBDBDB"/>
            </w:tcBorders>
          </w:tcPr>
          <w:p>
            <w:pPr>
              <w:spacing w:after="0"/>
              <w:rPr>
                <w:sz w:val="14"/>
                <w:szCs w:val="14"/>
                <w:color w:val="auto"/>
              </w:rPr>
            </w:pPr>
          </w:p>
        </w:tc>
        <w:tc>
          <w:tcPr>
            <w:tcW w:w="3560" w:type="dxa"/>
            <w:vAlign w:val="bottom"/>
            <w:tcBorders>
              <w:bottom w:val="single" w:sz="8" w:color="6D6D6D"/>
            </w:tcBorders>
          </w:tcPr>
          <w:p>
            <w:pPr>
              <w:jc w:val="center"/>
              <w:spacing w:after="0"/>
              <w:rPr>
                <w:sz w:val="20"/>
                <w:szCs w:val="20"/>
                <w:color w:val="auto"/>
              </w:rPr>
            </w:pPr>
            <w:r>
              <w:rPr>
                <w:rFonts w:ascii="Arial" w:cs="Arial" w:eastAsia="Arial" w:hAnsi="Arial"/>
                <w:sz w:val="12"/>
                <w:szCs w:val="12"/>
                <w:b w:val="1"/>
                <w:bCs w:val="1"/>
                <w:color w:val="05445E"/>
              </w:rPr>
              <w:t>(%)</w:t>
            </w:r>
          </w:p>
        </w:tc>
        <w:tc>
          <w:tcPr>
            <w:tcW w:w="260" w:type="dxa"/>
            <w:vAlign w:val="bottom"/>
            <w:tcBorders>
              <w:bottom w:val="single" w:sz="8" w:color="929292"/>
            </w:tcBorders>
          </w:tcPr>
          <w:p>
            <w:pPr>
              <w:spacing w:after="0"/>
              <w:rPr>
                <w:sz w:val="14"/>
                <w:szCs w:val="14"/>
                <w:color w:val="auto"/>
              </w:rPr>
            </w:pPr>
          </w:p>
        </w:tc>
      </w:tr>
      <w:tr>
        <w:trPr>
          <w:trHeight w:val="174"/>
        </w:trPr>
        <w:tc>
          <w:tcPr>
            <w:tcW w:w="2100" w:type="dxa"/>
            <w:vAlign w:val="bottom"/>
            <w:shd w:val="clear" w:color="auto" w:fill="DBDBDB"/>
          </w:tcPr>
          <w:p>
            <w:pPr>
              <w:spacing w:after="0"/>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(1)</w:t>
            </w:r>
          </w:p>
        </w:tc>
        <w:tc>
          <w:tcPr>
            <w:tcW w:w="264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820" w:type="dxa"/>
            <w:vAlign w:val="bottom"/>
            <w:gridSpan w:val="2"/>
            <w:shd w:val="clear" w:color="auto" w:fill="DBDBDB"/>
          </w:tcPr>
          <w:p>
            <w:pPr>
              <w:jc w:val="center"/>
              <w:ind w:right="260"/>
              <w:spacing w:after="0"/>
              <w:rPr>
                <w:sz w:val="20"/>
                <w:szCs w:val="20"/>
                <w:color w:val="auto"/>
              </w:rPr>
            </w:pPr>
            <w:r>
              <w:rPr>
                <w:rFonts w:ascii="Arial" w:cs="Arial" w:eastAsia="Arial" w:hAnsi="Arial"/>
                <w:sz w:val="12"/>
                <w:szCs w:val="12"/>
                <w:color w:val="auto"/>
                <w:w w:val="99"/>
              </w:rPr>
              <w:t>N/A</w:t>
            </w:r>
          </w:p>
        </w:tc>
      </w:tr>
      <w:tr>
        <w:trPr>
          <w:trHeight w:val="180"/>
        </w:trPr>
        <w:tc>
          <w:tcPr>
            <w:tcW w:w="2100" w:type="dxa"/>
            <w:vAlign w:val="bottom"/>
          </w:tcPr>
          <w:p>
            <w:pPr>
              <w:spacing w:after="0"/>
              <w:rPr>
                <w:sz w:val="20"/>
                <w:szCs w:val="20"/>
                <w:color w:val="auto"/>
              </w:rPr>
            </w:pPr>
            <w:r>
              <w:rPr>
                <w:rFonts w:ascii="Arial" w:cs="Arial" w:eastAsia="Arial" w:hAnsi="Arial"/>
                <w:sz w:val="12"/>
                <w:szCs w:val="12"/>
                <w:color w:val="auto"/>
              </w:rPr>
              <w:t>Mark R. Augdahl</w:t>
            </w:r>
            <w:r>
              <w:rPr>
                <w:rFonts w:ascii="Arial" w:cs="Arial" w:eastAsia="Arial" w:hAnsi="Arial"/>
                <w:sz w:val="15"/>
                <w:szCs w:val="15"/>
                <w:color w:val="auto"/>
                <w:vertAlign w:val="superscript"/>
              </w:rPr>
              <w:t>(2)</w:t>
            </w:r>
          </w:p>
        </w:tc>
        <w:tc>
          <w:tcPr>
            <w:tcW w:w="6540" w:type="dxa"/>
            <w:vAlign w:val="bottom"/>
            <w:gridSpan w:val="3"/>
          </w:tcPr>
          <w:p>
            <w:pPr>
              <w:jc w:val="right"/>
              <w:ind w:right="2400"/>
              <w:spacing w:after="0"/>
              <w:rPr>
                <w:sz w:val="20"/>
                <w:szCs w:val="20"/>
                <w:color w:val="auto"/>
              </w:rPr>
            </w:pPr>
            <w:r>
              <w:rPr>
                <w:rFonts w:ascii="Arial" w:cs="Arial" w:eastAsia="Arial" w:hAnsi="Arial"/>
                <w:sz w:val="12"/>
                <w:szCs w:val="12"/>
                <w:color w:val="auto"/>
              </w:rPr>
              <w:t>50.00</w:t>
            </w:r>
          </w:p>
        </w:tc>
        <w:tc>
          <w:tcPr>
            <w:tcW w:w="260" w:type="dxa"/>
            <w:vAlign w:val="bottom"/>
          </w:tcPr>
          <w:p>
            <w:pPr>
              <w:spacing w:after="0"/>
              <w:rPr>
                <w:sz w:val="15"/>
                <w:szCs w:val="15"/>
                <w:color w:val="auto"/>
              </w:rPr>
            </w:pPr>
          </w:p>
        </w:tc>
      </w:tr>
      <w:tr>
        <w:trPr>
          <w:trHeight w:val="180"/>
        </w:trPr>
        <w:tc>
          <w:tcPr>
            <w:tcW w:w="2100" w:type="dxa"/>
            <w:vAlign w:val="bottom"/>
            <w:shd w:val="clear" w:color="auto" w:fill="DBDBDB"/>
          </w:tcPr>
          <w:p>
            <w:pPr>
              <w:spacing w:after="0"/>
              <w:rPr>
                <w:sz w:val="20"/>
                <w:szCs w:val="20"/>
                <w:color w:val="auto"/>
              </w:rPr>
            </w:pPr>
            <w:r>
              <w:rPr>
                <w:rFonts w:ascii="Arial" w:cs="Arial" w:eastAsia="Arial" w:hAnsi="Arial"/>
                <w:sz w:val="12"/>
                <w:szCs w:val="12"/>
                <w:color w:val="auto"/>
              </w:rPr>
              <w:t>Troy R. Johnson</w:t>
            </w:r>
          </w:p>
        </w:tc>
        <w:tc>
          <w:tcPr>
            <w:tcW w:w="6540" w:type="dxa"/>
            <w:vAlign w:val="bottom"/>
            <w:gridSpan w:val="3"/>
            <w:shd w:val="clear" w:color="auto" w:fill="DBDBDB"/>
          </w:tcPr>
          <w:p>
            <w:pPr>
              <w:jc w:val="right"/>
              <w:ind w:right="2400"/>
              <w:spacing w:after="0"/>
              <w:rPr>
                <w:sz w:val="20"/>
                <w:szCs w:val="20"/>
                <w:color w:val="auto"/>
              </w:rPr>
            </w:pPr>
            <w:r>
              <w:rPr>
                <w:rFonts w:ascii="Arial" w:cs="Arial" w:eastAsia="Arial" w:hAnsi="Arial"/>
                <w:sz w:val="12"/>
                <w:szCs w:val="12"/>
                <w:color w:val="auto"/>
              </w:rPr>
              <w:t>60.00</w:t>
            </w:r>
          </w:p>
        </w:tc>
        <w:tc>
          <w:tcPr>
            <w:tcW w:w="260" w:type="dxa"/>
            <w:vAlign w:val="bottom"/>
            <w:shd w:val="clear" w:color="auto" w:fill="DBDBDB"/>
          </w:tcPr>
          <w:p>
            <w:pPr>
              <w:spacing w:after="0"/>
              <w:rPr>
                <w:sz w:val="15"/>
                <w:szCs w:val="15"/>
                <w:color w:val="auto"/>
              </w:rPr>
            </w:pPr>
          </w:p>
        </w:tc>
      </w:tr>
      <w:tr>
        <w:trPr>
          <w:trHeight w:val="172"/>
        </w:trPr>
        <w:tc>
          <w:tcPr>
            <w:tcW w:w="2100" w:type="dxa"/>
            <w:vAlign w:val="bottom"/>
          </w:tcPr>
          <w:p>
            <w:pPr>
              <w:spacing w:after="0"/>
              <w:rPr>
                <w:sz w:val="20"/>
                <w:szCs w:val="20"/>
                <w:color w:val="auto"/>
              </w:rPr>
            </w:pPr>
            <w:r>
              <w:rPr>
                <w:rFonts w:ascii="Arial" w:cs="Arial" w:eastAsia="Arial" w:hAnsi="Arial"/>
                <w:sz w:val="12"/>
                <w:szCs w:val="12"/>
                <w:color w:val="auto"/>
              </w:rPr>
              <w:t>Veena M. Lakkundi</w:t>
            </w:r>
          </w:p>
        </w:tc>
        <w:tc>
          <w:tcPr>
            <w:tcW w:w="6540" w:type="dxa"/>
            <w:vAlign w:val="bottom"/>
            <w:gridSpan w:val="3"/>
          </w:tcPr>
          <w:p>
            <w:pPr>
              <w:jc w:val="right"/>
              <w:ind w:right="2400"/>
              <w:spacing w:after="0"/>
              <w:rPr>
                <w:sz w:val="20"/>
                <w:szCs w:val="20"/>
                <w:color w:val="auto"/>
              </w:rPr>
            </w:pPr>
            <w:r>
              <w:rPr>
                <w:rFonts w:ascii="Arial" w:cs="Arial" w:eastAsia="Arial" w:hAnsi="Arial"/>
                <w:sz w:val="12"/>
                <w:szCs w:val="12"/>
                <w:color w:val="auto"/>
              </w:rPr>
              <w:t>60.00</w:t>
            </w:r>
          </w:p>
        </w:tc>
        <w:tc>
          <w:tcPr>
            <w:tcW w:w="260" w:type="dxa"/>
            <w:vAlign w:val="bottom"/>
          </w:tcPr>
          <w:p>
            <w:pPr>
              <w:spacing w:after="0"/>
              <w:rPr>
                <w:sz w:val="14"/>
                <w:szCs w:val="14"/>
                <w:color w:val="auto"/>
              </w:rPr>
            </w:pPr>
          </w:p>
        </w:tc>
      </w:tr>
      <w:tr>
        <w:trPr>
          <w:trHeight w:val="188"/>
        </w:trPr>
        <w:tc>
          <w:tcPr>
            <w:tcW w:w="2100" w:type="dxa"/>
            <w:vAlign w:val="bottom"/>
            <w:shd w:val="clear" w:color="auto" w:fill="DBDBDB"/>
          </w:tcPr>
          <w:p>
            <w:pPr>
              <w:spacing w:after="0"/>
              <w:rPr>
                <w:sz w:val="20"/>
                <w:szCs w:val="20"/>
                <w:color w:val="auto"/>
              </w:rPr>
            </w:pPr>
            <w:r>
              <w:rPr>
                <w:rFonts w:ascii="Arial" w:cs="Arial" w:eastAsia="Arial" w:hAnsi="Arial"/>
                <w:sz w:val="12"/>
                <w:szCs w:val="12"/>
                <w:color w:val="auto"/>
              </w:rPr>
              <w:t>Brent C. Jewell</w:t>
            </w:r>
          </w:p>
        </w:tc>
        <w:tc>
          <w:tcPr>
            <w:tcW w:w="6540" w:type="dxa"/>
            <w:vAlign w:val="bottom"/>
            <w:gridSpan w:val="3"/>
            <w:shd w:val="clear" w:color="auto" w:fill="DBDBDB"/>
          </w:tcPr>
          <w:p>
            <w:pPr>
              <w:jc w:val="right"/>
              <w:ind w:right="2400"/>
              <w:spacing w:after="0"/>
              <w:rPr>
                <w:sz w:val="20"/>
                <w:szCs w:val="20"/>
                <w:color w:val="auto"/>
              </w:rPr>
            </w:pPr>
            <w:r>
              <w:rPr>
                <w:rFonts w:ascii="Arial" w:cs="Arial" w:eastAsia="Arial" w:hAnsi="Arial"/>
                <w:sz w:val="12"/>
                <w:szCs w:val="12"/>
                <w:color w:val="auto"/>
              </w:rPr>
              <w:t>60.00</w:t>
            </w:r>
          </w:p>
        </w:tc>
        <w:tc>
          <w:tcPr>
            <w:tcW w:w="260" w:type="dxa"/>
            <w:vAlign w:val="bottom"/>
            <w:shd w:val="clear" w:color="auto" w:fill="DBDBDB"/>
          </w:tcPr>
          <w:p>
            <w:pPr>
              <w:spacing w:after="0"/>
              <w:rPr>
                <w:sz w:val="16"/>
                <w:szCs w:val="16"/>
                <w:color w:val="auto"/>
              </w:rPr>
            </w:pPr>
          </w:p>
        </w:tc>
      </w:tr>
      <w:tr>
        <w:trPr>
          <w:trHeight w:val="180"/>
        </w:trPr>
        <w:tc>
          <w:tcPr>
            <w:tcW w:w="2100" w:type="dxa"/>
            <w:vAlign w:val="bottom"/>
          </w:tcPr>
          <w:p>
            <w:pPr>
              <w:spacing w:after="0"/>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(3)</w:t>
            </w:r>
          </w:p>
        </w:tc>
        <w:tc>
          <w:tcPr>
            <w:tcW w:w="6540" w:type="dxa"/>
            <w:vAlign w:val="bottom"/>
            <w:gridSpan w:val="3"/>
          </w:tcPr>
          <w:p>
            <w:pPr>
              <w:jc w:val="right"/>
              <w:ind w:right="2400"/>
              <w:spacing w:after="0"/>
              <w:rPr>
                <w:sz w:val="20"/>
                <w:szCs w:val="20"/>
                <w:color w:val="auto"/>
              </w:rPr>
            </w:pPr>
            <w:r>
              <w:rPr>
                <w:rFonts w:ascii="Arial" w:cs="Arial" w:eastAsia="Arial" w:hAnsi="Arial"/>
                <w:sz w:val="12"/>
                <w:szCs w:val="12"/>
                <w:color w:val="auto"/>
              </w:rPr>
              <w:t>100.00</w:t>
            </w:r>
          </w:p>
        </w:tc>
        <w:tc>
          <w:tcPr>
            <w:tcW w:w="260" w:type="dxa"/>
            <w:vAlign w:val="bottom"/>
          </w:tcPr>
          <w:p>
            <w:pPr>
              <w:spacing w:after="0"/>
              <w:rPr>
                <w:sz w:val="15"/>
                <w:szCs w:val="15"/>
                <w:color w:val="auto"/>
              </w:rPr>
            </w:pPr>
          </w:p>
        </w:tc>
      </w:tr>
      <w:tr>
        <w:trPr>
          <w:trHeight w:val="180"/>
        </w:trPr>
        <w:tc>
          <w:tcPr>
            <w:tcW w:w="2100" w:type="dxa"/>
            <w:vAlign w:val="bottom"/>
            <w:shd w:val="clear" w:color="auto" w:fill="DBDBDB"/>
          </w:tcPr>
          <w:p>
            <w:pPr>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(4)</w:t>
            </w:r>
          </w:p>
        </w:tc>
        <w:tc>
          <w:tcPr>
            <w:tcW w:w="6540" w:type="dxa"/>
            <w:vAlign w:val="bottom"/>
            <w:gridSpan w:val="3"/>
            <w:shd w:val="clear" w:color="auto" w:fill="DBDBDB"/>
          </w:tcPr>
          <w:p>
            <w:pPr>
              <w:jc w:val="right"/>
              <w:ind w:right="2400"/>
              <w:spacing w:after="0"/>
              <w:rPr>
                <w:sz w:val="20"/>
                <w:szCs w:val="20"/>
                <w:color w:val="auto"/>
              </w:rPr>
            </w:pPr>
            <w:r>
              <w:rPr>
                <w:rFonts w:ascii="Arial" w:cs="Arial" w:eastAsia="Arial" w:hAnsi="Arial"/>
                <w:sz w:val="12"/>
                <w:szCs w:val="12"/>
                <w:color w:val="auto"/>
              </w:rPr>
              <w:t>75.00</w:t>
            </w:r>
          </w:p>
        </w:tc>
        <w:tc>
          <w:tcPr>
            <w:tcW w:w="260" w:type="dxa"/>
            <w:vAlign w:val="bottom"/>
            <w:shd w:val="clear" w:color="auto" w:fill="DBDBDB"/>
          </w:tcPr>
          <w:p>
            <w:pPr>
              <w:spacing w:after="0"/>
              <w:rPr>
                <w:sz w:val="15"/>
                <w:szCs w:val="15"/>
                <w:color w:val="auto"/>
              </w:rPr>
            </w:pPr>
          </w:p>
        </w:tc>
      </w:tr>
      <w:tr>
        <w:trPr>
          <w:trHeight w:val="148"/>
        </w:trPr>
        <w:tc>
          <w:tcPr>
            <w:tcW w:w="2100" w:type="dxa"/>
            <w:vAlign w:val="bottom"/>
          </w:tcPr>
          <w:p>
            <w:pPr>
              <w:spacing w:after="0"/>
              <w:rPr>
                <w:sz w:val="20"/>
                <w:szCs w:val="20"/>
                <w:color w:val="auto"/>
              </w:rPr>
            </w:pPr>
            <w:r>
              <w:rPr>
                <w:rFonts w:ascii="Arial" w:cs="Arial" w:eastAsia="Arial" w:hAnsi="Arial"/>
                <w:sz w:val="7"/>
                <w:szCs w:val="7"/>
                <w:color w:val="auto"/>
              </w:rPr>
              <w:t>___________________________</w:t>
            </w: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r>
    </w:tbl>
    <w:p>
      <w:pPr>
        <w:spacing w:after="0" w:line="55" w:lineRule="exact"/>
        <w:rPr>
          <w:sz w:val="20"/>
          <w:szCs w:val="20"/>
          <w:color w:val="auto"/>
        </w:rPr>
      </w:pPr>
    </w:p>
    <w:p>
      <w:pPr>
        <w:ind w:left="648" w:hanging="324"/>
        <w:spacing w:after="0" w:line="286" w:lineRule="auto"/>
        <w:tabs>
          <w:tab w:leader="none" w:pos="642"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Mr. Nolan was appointed as our Chief Executive Officer at the close of business on October 31, 2025, during fiscal 2026. He has an annual cash incentive that pays out based on his performance during the Term of the CEO Offer Letter, as described under "Nolan Short-Term Incentive Plan" on page </w:t>
      </w:r>
      <w:r>
        <w:rPr>
          <w:rFonts w:ascii="Arial" w:cs="Arial" w:eastAsia="Arial" w:hAnsi="Arial"/>
          <w:sz w:val="12"/>
          <w:szCs w:val="12"/>
          <w:u w:val="single" w:color="auto"/>
          <w:color w:val="0000FF"/>
        </w:rPr>
        <w:t>46</w:t>
      </w:r>
      <w:r>
        <w:rPr>
          <w:rFonts w:ascii="Arial" w:cs="Arial" w:eastAsia="Arial" w:hAnsi="Arial"/>
          <w:sz w:val="12"/>
          <w:szCs w:val="12"/>
          <w:color w:val="auto"/>
        </w:rPr>
        <w:t>.</w:t>
      </w:r>
    </w:p>
    <w:p>
      <w:pPr>
        <w:spacing w:after="0" w:line="31" w:lineRule="exact"/>
        <w:rPr>
          <w:rFonts w:ascii="Arial" w:cs="Arial" w:eastAsia="Arial" w:hAnsi="Arial"/>
          <w:sz w:val="12"/>
          <w:szCs w:val="12"/>
          <w:color w:val="auto"/>
        </w:rPr>
      </w:pPr>
    </w:p>
    <w:p>
      <w:pPr>
        <w:ind w:left="648" w:hanging="324"/>
        <w:spacing w:after="0" w:line="286" w:lineRule="auto"/>
        <w:tabs>
          <w:tab w:leader="none" w:pos="642"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Augdahl was elected Executive Vice President and Chief Financial Officer on January 19, 2026. His short-term cash incentive compensation target payout of 75.00% became effective for fiscal 2027.</w:t>
      </w:r>
    </w:p>
    <w:p>
      <w:pPr>
        <w:spacing w:after="0" w:line="31" w:lineRule="exact"/>
        <w:rPr>
          <w:rFonts w:ascii="Arial" w:cs="Arial" w:eastAsia="Arial" w:hAnsi="Arial"/>
          <w:sz w:val="12"/>
          <w:szCs w:val="12"/>
          <w:color w:val="auto"/>
        </w:rPr>
      </w:pPr>
    </w:p>
    <w:p>
      <w:pPr>
        <w:jc w:val="both"/>
        <w:ind w:left="648" w:hanging="324"/>
        <w:spacing w:after="0" w:line="268" w:lineRule="auto"/>
        <w:tabs>
          <w:tab w:leader="none" w:pos="642"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Silberhorn separated from the Company as President and Chief Executive Officer on October 31, 2025, during fiscal 2026 and received a portion of his short-term cash incentive compensation pursuant to the terms of his Separation Agreement. Mr. Silberhorn was paid $466,000 under the fiscal 2026 CEO evaluation incentive, which is an amount equal to 50% of his target short-term cash incentive for fiscal 2026.</w:t>
      </w:r>
    </w:p>
    <w:p>
      <w:pPr>
        <w:spacing w:after="0" w:line="41" w:lineRule="exact"/>
        <w:rPr>
          <w:rFonts w:ascii="Arial" w:cs="Arial" w:eastAsia="Arial" w:hAnsi="Arial"/>
          <w:sz w:val="12"/>
          <w:szCs w:val="12"/>
          <w:color w:val="auto"/>
        </w:rPr>
      </w:pPr>
    </w:p>
    <w:p>
      <w:pPr>
        <w:ind w:left="648" w:hanging="324"/>
        <w:spacing w:after="0"/>
        <w:tabs>
          <w:tab w:leader="none" w:pos="648"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during fiscal 2026,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following table outlines the consolidated performance goals, weighting and performance levels and actual performance achievement for the fiscal 2026 performance cycle for Mr. Augdahl and Mr. Osberg. </w:t>
      </w:r>
      <w:r>
        <w:rPr>
          <w:rFonts w:ascii="Arial" w:cs="Arial" w:eastAsia="Arial" w:hAnsi="Arial"/>
          <w:sz w:val="12"/>
          <w:szCs w:val="12"/>
          <w:color w:val="0A0A0A"/>
        </w:rPr>
        <w:t>Mr.</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0A0A0A"/>
        </w:rPr>
        <w:t>Osberg forfeited his fiscal 2026 short-term incentive plan as a result of his resignation from the Company.</w:t>
      </w:r>
    </w:p>
    <w:p>
      <w:pPr>
        <w:spacing w:after="0" w:line="174" w:lineRule="exact"/>
        <w:rPr>
          <w:sz w:val="20"/>
          <w:szCs w:val="20"/>
          <w:color w:val="auto"/>
        </w:rPr>
      </w:pPr>
    </w:p>
    <w:p>
      <w:pPr>
        <w:jc w:val="center"/>
        <w:ind w:right="372"/>
        <w:spacing w:after="0"/>
        <w:rPr>
          <w:sz w:val="20"/>
          <w:szCs w:val="20"/>
          <w:color w:val="auto"/>
        </w:rPr>
      </w:pPr>
      <w:r>
        <w:rPr>
          <w:rFonts w:ascii="Arial" w:cs="Arial" w:eastAsia="Arial" w:hAnsi="Arial"/>
          <w:sz w:val="12"/>
          <w:szCs w:val="12"/>
          <w:b w:val="1"/>
          <w:bCs w:val="1"/>
          <w:color w:val="auto"/>
        </w:rPr>
        <w:t>Fiscal 2026 Short-Term Cash Incentive Performance Levels and</w:t>
      </w:r>
    </w:p>
    <w:p>
      <w:pPr>
        <w:spacing w:after="0" w:line="18" w:lineRule="exact"/>
        <w:rPr>
          <w:sz w:val="20"/>
          <w:szCs w:val="20"/>
          <w:color w:val="auto"/>
        </w:rPr>
      </w:pPr>
    </w:p>
    <w:p>
      <w:pPr>
        <w:jc w:val="center"/>
        <w:ind w:right="372"/>
        <w:spacing w:after="0"/>
        <w:rPr>
          <w:sz w:val="20"/>
          <w:szCs w:val="20"/>
          <w:color w:val="auto"/>
        </w:rPr>
      </w:pPr>
      <w:r>
        <w:rPr>
          <w:rFonts w:ascii="Arial" w:cs="Arial" w:eastAsia="Arial" w:hAnsi="Arial"/>
          <w:sz w:val="12"/>
          <w:szCs w:val="12"/>
          <w:b w:val="1"/>
          <w:bCs w:val="1"/>
          <w:color w:val="auto"/>
        </w:rPr>
        <w:t>Actual Performance – Mr. Augdahl and Mr.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93801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38010" cy="5715"/>
                    </a:xfrm>
                    <a:prstGeom prst="rect">
                      <a:avLst/>
                    </a:prstGeom>
                    <a:noFill/>
                  </pic:spPr>
                </pic:pic>
              </a:graphicData>
            </a:graphic>
          </wp:anchor>
        </w:drawing>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6"/>
              </w:rPr>
              <w:t>Percentage</w:t>
            </w:r>
          </w:p>
        </w:tc>
        <w:tc>
          <w:tcPr>
            <w:tcW w:w="0" w:type="dxa"/>
            <w:vAlign w:val="bottom"/>
          </w:tcPr>
          <w:p>
            <w:pPr>
              <w:spacing w:after="0"/>
              <w:rPr>
                <w:sz w:val="1"/>
                <w:szCs w:val="1"/>
                <w:color w:val="auto"/>
              </w:rPr>
            </w:pPr>
          </w:p>
        </w:tc>
      </w:tr>
      <w:tr>
        <w:trPr>
          <w:trHeight w:val="117"/>
        </w:trPr>
        <w:tc>
          <w:tcPr>
            <w:tcW w:w="2380" w:type="dxa"/>
            <w:vAlign w:val="bottom"/>
            <w:gridSpan w:val="2"/>
            <w:vMerge w:val="restart"/>
          </w:tcPr>
          <w:p>
            <w:pPr>
              <w:spacing w:after="0"/>
              <w:rPr>
                <w:sz w:val="20"/>
                <w:szCs w:val="20"/>
                <w:color w:val="auto"/>
              </w:rPr>
            </w:pPr>
            <w:r>
              <w:rPr>
                <w:rFonts w:ascii="Arial" w:cs="Arial" w:eastAsia="Arial" w:hAnsi="Arial"/>
                <w:sz w:val="10"/>
                <w:szCs w:val="10"/>
                <w:b w:val="1"/>
                <w:bCs w:val="1"/>
                <w:color w:val="05445E"/>
              </w:rPr>
              <w:t>Performance</w:t>
            </w:r>
          </w:p>
        </w:tc>
        <w:tc>
          <w:tcPr>
            <w:tcW w:w="10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05445E"/>
              </w:rPr>
              <w:t>Weighting</w:t>
            </w:r>
          </w:p>
        </w:tc>
        <w:tc>
          <w:tcPr>
            <w:tcW w:w="1440" w:type="dxa"/>
            <w:vAlign w:val="bottom"/>
            <w:gridSpan w:val="2"/>
            <w:vMerge w:val="restart"/>
          </w:tcPr>
          <w:p>
            <w:pPr>
              <w:ind w:left="440"/>
              <w:spacing w:after="0"/>
              <w:rPr>
                <w:sz w:val="20"/>
                <w:szCs w:val="20"/>
                <w:color w:val="auto"/>
              </w:rPr>
            </w:pPr>
            <w:r>
              <w:rPr>
                <w:rFonts w:ascii="Arial" w:cs="Arial" w:eastAsia="Arial" w:hAnsi="Arial"/>
                <w:sz w:val="10"/>
                <w:szCs w:val="10"/>
                <w:b w:val="1"/>
                <w:bCs w:val="1"/>
                <w:color w:val="05445E"/>
              </w:rPr>
              <w:t>Threshold</w:t>
            </w:r>
          </w:p>
        </w:tc>
        <w:tc>
          <w:tcPr>
            <w:tcW w:w="146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05445E"/>
              </w:rPr>
              <w:t>Target</w:t>
            </w:r>
          </w:p>
        </w:tc>
        <w:tc>
          <w:tcPr>
            <w:tcW w:w="154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05445E"/>
              </w:rPr>
              <w:t>Maximum</w:t>
            </w:r>
          </w:p>
        </w:tc>
        <w:tc>
          <w:tcPr>
            <w:tcW w:w="1300" w:type="dxa"/>
            <w:vAlign w:val="bottom"/>
          </w:tcPr>
          <w:p>
            <w:pPr>
              <w:jc w:val="center"/>
              <w:ind w:left="272"/>
              <w:spacing w:after="0"/>
              <w:rPr>
                <w:sz w:val="20"/>
                <w:szCs w:val="20"/>
                <w:color w:val="auto"/>
              </w:rPr>
            </w:pPr>
            <w:r>
              <w:rPr>
                <w:rFonts w:ascii="Arial" w:cs="Arial" w:eastAsia="Arial" w:hAnsi="Arial"/>
                <w:sz w:val="10"/>
                <w:szCs w:val="10"/>
                <w:b w:val="1"/>
                <w:bCs w:val="1"/>
                <w:color w:val="05445E"/>
                <w:w w:val="98"/>
              </w:rPr>
              <w:t>Actual</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4"/>
              </w:rPr>
              <w:t>Performance</w:t>
            </w:r>
          </w:p>
        </w:tc>
        <w:tc>
          <w:tcPr>
            <w:tcW w:w="0" w:type="dxa"/>
            <w:vAlign w:val="bottom"/>
          </w:tcPr>
          <w:p>
            <w:pPr>
              <w:spacing w:after="0"/>
              <w:rPr>
                <w:sz w:val="1"/>
                <w:szCs w:val="1"/>
                <w:color w:val="auto"/>
              </w:rPr>
            </w:pPr>
          </w:p>
        </w:tc>
      </w:tr>
      <w:tr>
        <w:trPr>
          <w:trHeight w:val="108"/>
        </w:trPr>
        <w:tc>
          <w:tcPr>
            <w:tcW w:w="238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tcPr>
          <w:p>
            <w:pPr>
              <w:jc w:val="center"/>
              <w:ind w:left="272"/>
              <w:spacing w:after="0" w:line="108" w:lineRule="exact"/>
              <w:rPr>
                <w:sz w:val="20"/>
                <w:szCs w:val="20"/>
                <w:color w:val="auto"/>
              </w:rPr>
            </w:pPr>
            <w:r>
              <w:rPr>
                <w:rFonts w:ascii="Arial" w:cs="Arial" w:eastAsia="Arial" w:hAnsi="Arial"/>
                <w:sz w:val="10"/>
                <w:szCs w:val="10"/>
                <w:b w:val="1"/>
                <w:bCs w:val="1"/>
                <w:color w:val="05445E"/>
                <w:w w:val="94"/>
              </w:rPr>
              <w:t>Performance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Achieved</w:t>
            </w:r>
          </w:p>
        </w:tc>
        <w:tc>
          <w:tcPr>
            <w:tcW w:w="0" w:type="dxa"/>
            <w:vAlign w:val="bottom"/>
          </w:tcPr>
          <w:p>
            <w:pPr>
              <w:spacing w:after="0"/>
              <w:rPr>
                <w:sz w:val="1"/>
                <w:szCs w:val="1"/>
                <w:color w:val="auto"/>
              </w:rPr>
            </w:pPr>
          </w:p>
        </w:tc>
      </w:tr>
      <w:tr>
        <w:trPr>
          <w:trHeight w:val="141"/>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Goal</w:t>
            </w:r>
          </w:p>
        </w:tc>
        <w:tc>
          <w:tcPr>
            <w:tcW w:w="80" w:type="dxa"/>
            <w:vAlign w:val="bottom"/>
            <w:tcBorders>
              <w:bottom w:val="single" w:sz="8" w:color="D9D9D9"/>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80" w:type="dxa"/>
            <w:vAlign w:val="bottom"/>
            <w:tcBorders>
              <w:bottom w:val="single" w:sz="8" w:color="D9D9D9"/>
            </w:tcBorders>
          </w:tcPr>
          <w:p>
            <w:pPr>
              <w:spacing w:after="0"/>
              <w:rPr>
                <w:sz w:val="12"/>
                <w:szCs w:val="12"/>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9D9D9"/>
            </w:tcBorders>
          </w:tcPr>
          <w:p>
            <w:pPr>
              <w:spacing w:after="0"/>
              <w:rPr>
                <w:sz w:val="12"/>
                <w:szCs w:val="12"/>
                <w:color w:val="auto"/>
              </w:rPr>
            </w:pP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9D9D9"/>
            </w:tcBorders>
          </w:tcPr>
          <w:p>
            <w:pPr>
              <w:spacing w:after="0"/>
              <w:rPr>
                <w:sz w:val="12"/>
                <w:szCs w:val="12"/>
                <w:color w:val="auto"/>
              </w:rPr>
            </w:pP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9D9D9"/>
            </w:tcBorders>
          </w:tcPr>
          <w:p>
            <w:pPr>
              <w:spacing w:after="0"/>
              <w:rPr>
                <w:sz w:val="12"/>
                <w:szCs w:val="12"/>
                <w:color w:val="auto"/>
              </w:rPr>
            </w:pPr>
          </w:p>
        </w:tc>
        <w:tc>
          <w:tcPr>
            <w:tcW w:w="1300" w:type="dxa"/>
            <w:vAlign w:val="bottom"/>
            <w:tcBorders>
              <w:bottom w:val="single" w:sz="8" w:color="auto"/>
            </w:tcBorders>
          </w:tcPr>
          <w:p>
            <w:pPr>
              <w:jc w:val="center"/>
              <w:ind w:left="272"/>
              <w:spacing w:after="0"/>
              <w:rPr>
                <w:sz w:val="20"/>
                <w:szCs w:val="20"/>
                <w:color w:val="auto"/>
              </w:rPr>
            </w:pPr>
            <w:r>
              <w:rPr>
                <w:rFonts w:ascii="Arial" w:cs="Arial" w:eastAsia="Arial" w:hAnsi="Arial"/>
                <w:sz w:val="10"/>
                <w:szCs w:val="10"/>
                <w:b w:val="1"/>
                <w:bCs w:val="1"/>
                <w:color w:val="05445E"/>
                <w:w w:val="96"/>
              </w:rPr>
              <w:t>($ in millions)</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D9D9D9"/>
            </w:tcBorders>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0" w:type="dxa"/>
            <w:vAlign w:val="bottom"/>
          </w:tcPr>
          <w:p>
            <w:pPr>
              <w:spacing w:after="0"/>
              <w:rPr>
                <w:sz w:val="1"/>
                <w:szCs w:val="1"/>
                <w:color w:val="auto"/>
              </w:rPr>
            </w:pPr>
          </w:p>
        </w:tc>
      </w:tr>
      <w:tr>
        <w:trPr>
          <w:trHeight w:val="143"/>
        </w:trPr>
        <w:tc>
          <w:tcPr>
            <w:tcW w:w="2380" w:type="dxa"/>
            <w:vAlign w:val="bottom"/>
            <w:gridSpan w:val="2"/>
            <w:shd w:val="clear" w:color="auto" w:fill="D9D9D9"/>
          </w:tcPr>
          <w:p>
            <w:pPr>
              <w:spacing w:after="0"/>
              <w:rPr>
                <w:sz w:val="20"/>
                <w:szCs w:val="20"/>
                <w:color w:val="auto"/>
              </w:rPr>
            </w:pPr>
            <w:r>
              <w:rPr>
                <w:rFonts w:ascii="Arial" w:cs="Arial" w:eastAsia="Arial" w:hAnsi="Arial"/>
                <w:sz w:val="10"/>
                <w:szCs w:val="10"/>
                <w:color w:val="auto"/>
              </w:rPr>
              <w:t>Consolidated Net Sales</w:t>
            </w:r>
          </w:p>
        </w:tc>
        <w:tc>
          <w:tcPr>
            <w:tcW w:w="9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89"/>
              </w:rPr>
              <w:t>25</w:t>
            </w:r>
          </w:p>
        </w:tc>
        <w:tc>
          <w:tcPr>
            <w:tcW w:w="80" w:type="dxa"/>
            <w:vAlign w:val="bottom"/>
            <w:shd w:val="clear" w:color="auto" w:fill="D9D9D9"/>
          </w:tcPr>
          <w:p>
            <w:pPr>
              <w:spacing w:after="0"/>
              <w:rPr>
                <w:sz w:val="12"/>
                <w:szCs w:val="12"/>
                <w:color w:val="auto"/>
              </w:rPr>
            </w:pPr>
          </w:p>
        </w:tc>
        <w:tc>
          <w:tcPr>
            <w:tcW w:w="1360" w:type="dxa"/>
            <w:vAlign w:val="bottom"/>
            <w:shd w:val="clear" w:color="auto" w:fill="D9D9D9"/>
          </w:tcPr>
          <w:p>
            <w:pPr>
              <w:jc w:val="right"/>
              <w:ind w:right="152"/>
              <w:spacing w:after="0"/>
              <w:rPr>
                <w:sz w:val="20"/>
                <w:szCs w:val="20"/>
                <w:color w:val="auto"/>
              </w:rPr>
            </w:pPr>
            <w:r>
              <w:rPr>
                <w:rFonts w:ascii="Arial" w:cs="Arial" w:eastAsia="Arial" w:hAnsi="Arial"/>
                <w:sz w:val="10"/>
                <w:szCs w:val="10"/>
                <w:color w:val="auto"/>
              </w:rPr>
              <w:t>1,304,200</w:t>
            </w:r>
          </w:p>
        </w:tc>
        <w:tc>
          <w:tcPr>
            <w:tcW w:w="80" w:type="dxa"/>
            <w:vAlign w:val="bottom"/>
            <w:shd w:val="clear" w:color="auto" w:fill="D9D9D9"/>
          </w:tcPr>
          <w:p>
            <w:pPr>
              <w:spacing w:after="0"/>
              <w:rPr>
                <w:sz w:val="12"/>
                <w:szCs w:val="12"/>
                <w:color w:val="auto"/>
              </w:rPr>
            </w:pPr>
          </w:p>
        </w:tc>
        <w:tc>
          <w:tcPr>
            <w:tcW w:w="1380" w:type="dxa"/>
            <w:vAlign w:val="bottom"/>
            <w:shd w:val="clear" w:color="auto" w:fill="D9D9D9"/>
          </w:tcPr>
          <w:p>
            <w:pPr>
              <w:jc w:val="right"/>
              <w:ind w:right="112"/>
              <w:spacing w:after="0"/>
              <w:rPr>
                <w:sz w:val="20"/>
                <w:szCs w:val="20"/>
                <w:color w:val="auto"/>
              </w:rPr>
            </w:pPr>
            <w:r>
              <w:rPr>
                <w:rFonts w:ascii="Arial" w:cs="Arial" w:eastAsia="Arial" w:hAnsi="Arial"/>
                <w:sz w:val="10"/>
                <w:szCs w:val="10"/>
                <w:color w:val="auto"/>
              </w:rPr>
              <w:t>1,449,100</w:t>
            </w:r>
          </w:p>
        </w:tc>
        <w:tc>
          <w:tcPr>
            <w:tcW w:w="80" w:type="dxa"/>
            <w:vAlign w:val="bottom"/>
            <w:shd w:val="clear" w:color="auto" w:fill="D9D9D9"/>
          </w:tcPr>
          <w:p>
            <w:pPr>
              <w:spacing w:after="0"/>
              <w:rPr>
                <w:sz w:val="12"/>
                <w:szCs w:val="12"/>
                <w:color w:val="auto"/>
              </w:rPr>
            </w:pPr>
          </w:p>
        </w:tc>
        <w:tc>
          <w:tcPr>
            <w:tcW w:w="1460" w:type="dxa"/>
            <w:vAlign w:val="bottom"/>
            <w:shd w:val="clear" w:color="auto" w:fill="D9D9D9"/>
          </w:tcPr>
          <w:p>
            <w:pPr>
              <w:jc w:val="right"/>
              <w:ind w:right="112"/>
              <w:spacing w:after="0"/>
              <w:rPr>
                <w:sz w:val="20"/>
                <w:szCs w:val="20"/>
                <w:color w:val="auto"/>
              </w:rPr>
            </w:pPr>
            <w:r>
              <w:rPr>
                <w:rFonts w:ascii="Arial" w:cs="Arial" w:eastAsia="Arial" w:hAnsi="Arial"/>
                <w:sz w:val="10"/>
                <w:szCs w:val="10"/>
                <w:color w:val="auto"/>
              </w:rPr>
              <w:t>1,594,000</w:t>
            </w:r>
          </w:p>
        </w:tc>
        <w:tc>
          <w:tcPr>
            <w:tcW w:w="80" w:type="dxa"/>
            <w:vAlign w:val="bottom"/>
            <w:shd w:val="clear" w:color="auto" w:fill="D9D9D9"/>
          </w:tcPr>
          <w:p>
            <w:pPr>
              <w:spacing w:after="0"/>
              <w:rPr>
                <w:sz w:val="12"/>
                <w:szCs w:val="12"/>
                <w:color w:val="auto"/>
              </w:rPr>
            </w:pPr>
          </w:p>
        </w:tc>
        <w:tc>
          <w:tcPr>
            <w:tcW w:w="1300" w:type="dxa"/>
            <w:vAlign w:val="bottom"/>
            <w:shd w:val="clear" w:color="auto" w:fill="D9D9D9"/>
          </w:tcPr>
          <w:p>
            <w:pPr>
              <w:jc w:val="right"/>
              <w:ind w:right="72"/>
              <w:spacing w:after="0"/>
              <w:rPr>
                <w:sz w:val="20"/>
                <w:szCs w:val="20"/>
                <w:color w:val="auto"/>
              </w:rPr>
            </w:pPr>
            <w:r>
              <w:rPr>
                <w:rFonts w:ascii="Arial" w:cs="Arial" w:eastAsia="Arial" w:hAnsi="Arial"/>
                <w:sz w:val="10"/>
                <w:szCs w:val="10"/>
                <w:color w:val="auto"/>
              </w:rPr>
              <w:t>1,404.733</w:t>
            </w:r>
          </w:p>
        </w:tc>
        <w:tc>
          <w:tcPr>
            <w:tcW w:w="3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340" w:type="dxa"/>
            <w:vAlign w:val="bottom"/>
            <w:shd w:val="clear" w:color="auto" w:fill="D9D9D9"/>
          </w:tcPr>
          <w:p>
            <w:pPr>
              <w:jc w:val="right"/>
              <w:ind w:right="172"/>
              <w:spacing w:after="0"/>
              <w:rPr>
                <w:sz w:val="20"/>
                <w:szCs w:val="20"/>
                <w:color w:val="auto"/>
              </w:rPr>
            </w:pPr>
            <w:r>
              <w:rPr>
                <w:rFonts w:ascii="Arial" w:cs="Arial" w:eastAsia="Arial" w:hAnsi="Arial"/>
                <w:sz w:val="10"/>
                <w:szCs w:val="10"/>
                <w:color w:val="auto"/>
              </w:rPr>
              <w:t>84.69</w:t>
            </w: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rPr>
                <w:sz w:val="20"/>
                <w:szCs w:val="20"/>
                <w:color w:val="auto"/>
              </w:rPr>
            </w:pPr>
            <w:r>
              <w:rPr>
                <w:rFonts w:ascii="Arial" w:cs="Arial" w:eastAsia="Arial" w:hAnsi="Arial"/>
                <w:sz w:val="10"/>
                <w:szCs w:val="10"/>
                <w:color w:val="auto"/>
              </w:rPr>
              <w:t>Consolidated Adjusted EBITDA</w:t>
            </w:r>
          </w:p>
        </w:tc>
        <w:tc>
          <w:tcPr>
            <w:tcW w:w="980" w:type="dxa"/>
            <w:vAlign w:val="bottom"/>
          </w:tcPr>
          <w:p>
            <w:pPr>
              <w:jc w:val="center"/>
              <w:spacing w:after="0"/>
              <w:rPr>
                <w:sz w:val="20"/>
                <w:szCs w:val="20"/>
                <w:color w:val="auto"/>
              </w:rPr>
            </w:pPr>
            <w:r>
              <w:rPr>
                <w:rFonts w:ascii="Arial" w:cs="Arial" w:eastAsia="Arial" w:hAnsi="Arial"/>
                <w:sz w:val="10"/>
                <w:szCs w:val="10"/>
                <w:color w:val="auto"/>
                <w:w w:val="89"/>
              </w:rPr>
              <w:t>75</w:t>
            </w:r>
          </w:p>
        </w:tc>
        <w:tc>
          <w:tcPr>
            <w:tcW w:w="80" w:type="dxa"/>
            <w:vAlign w:val="bottom"/>
          </w:tcPr>
          <w:p>
            <w:pPr>
              <w:spacing w:after="0"/>
              <w:rPr>
                <w:sz w:val="12"/>
                <w:szCs w:val="12"/>
                <w:color w:val="auto"/>
              </w:rPr>
            </w:pPr>
          </w:p>
        </w:tc>
        <w:tc>
          <w:tcPr>
            <w:tcW w:w="1360" w:type="dxa"/>
            <w:vAlign w:val="bottom"/>
          </w:tcPr>
          <w:p>
            <w:pPr>
              <w:jc w:val="right"/>
              <w:ind w:right="152"/>
              <w:spacing w:after="0"/>
              <w:rPr>
                <w:sz w:val="20"/>
                <w:szCs w:val="20"/>
                <w:color w:val="auto"/>
              </w:rPr>
            </w:pPr>
            <w:r>
              <w:rPr>
                <w:rFonts w:ascii="Arial" w:cs="Arial" w:eastAsia="Arial" w:hAnsi="Arial"/>
                <w:sz w:val="10"/>
                <w:szCs w:val="10"/>
                <w:color w:val="auto"/>
              </w:rPr>
              <w:t>173,000</w:t>
            </w:r>
          </w:p>
        </w:tc>
        <w:tc>
          <w:tcPr>
            <w:tcW w:w="80" w:type="dxa"/>
            <w:vAlign w:val="bottom"/>
          </w:tcPr>
          <w:p>
            <w:pPr>
              <w:spacing w:after="0"/>
              <w:rPr>
                <w:sz w:val="12"/>
                <w:szCs w:val="12"/>
                <w:color w:val="auto"/>
              </w:rPr>
            </w:pPr>
          </w:p>
        </w:tc>
        <w:tc>
          <w:tcPr>
            <w:tcW w:w="1380" w:type="dxa"/>
            <w:vAlign w:val="bottom"/>
          </w:tcPr>
          <w:p>
            <w:pPr>
              <w:jc w:val="right"/>
              <w:ind w:right="112"/>
              <w:spacing w:after="0"/>
              <w:rPr>
                <w:sz w:val="20"/>
                <w:szCs w:val="20"/>
                <w:color w:val="auto"/>
              </w:rPr>
            </w:pPr>
            <w:r>
              <w:rPr>
                <w:rFonts w:ascii="Arial" w:cs="Arial" w:eastAsia="Arial" w:hAnsi="Arial"/>
                <w:sz w:val="10"/>
                <w:szCs w:val="10"/>
                <w:color w:val="auto"/>
              </w:rPr>
              <w:t>203,500</w:t>
            </w:r>
          </w:p>
        </w:tc>
        <w:tc>
          <w:tcPr>
            <w:tcW w:w="80" w:type="dxa"/>
            <w:vAlign w:val="bottom"/>
          </w:tcPr>
          <w:p>
            <w:pPr>
              <w:spacing w:after="0"/>
              <w:rPr>
                <w:sz w:val="12"/>
                <w:szCs w:val="12"/>
                <w:color w:val="auto"/>
              </w:rPr>
            </w:pPr>
          </w:p>
        </w:tc>
        <w:tc>
          <w:tcPr>
            <w:tcW w:w="1460" w:type="dxa"/>
            <w:vAlign w:val="bottom"/>
          </w:tcPr>
          <w:p>
            <w:pPr>
              <w:jc w:val="right"/>
              <w:ind w:right="112"/>
              <w:spacing w:after="0"/>
              <w:rPr>
                <w:sz w:val="20"/>
                <w:szCs w:val="20"/>
                <w:color w:val="auto"/>
              </w:rPr>
            </w:pPr>
            <w:r>
              <w:rPr>
                <w:rFonts w:ascii="Arial" w:cs="Arial" w:eastAsia="Arial" w:hAnsi="Arial"/>
                <w:sz w:val="10"/>
                <w:szCs w:val="10"/>
                <w:color w:val="auto"/>
              </w:rPr>
              <w:t>234,000</w:t>
            </w:r>
          </w:p>
        </w:tc>
        <w:tc>
          <w:tcPr>
            <w:tcW w:w="80" w:type="dxa"/>
            <w:vAlign w:val="bottom"/>
          </w:tcPr>
          <w:p>
            <w:pPr>
              <w:spacing w:after="0"/>
              <w:rPr>
                <w:sz w:val="12"/>
                <w:szCs w:val="12"/>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167.303</w:t>
            </w:r>
          </w:p>
        </w:tc>
        <w:tc>
          <w:tcPr>
            <w:tcW w:w="320" w:type="dxa"/>
            <w:vAlign w:val="bottom"/>
          </w:tcPr>
          <w:p>
            <w:pPr>
              <w:jc w:val="right"/>
              <w:ind w:right="69"/>
              <w:spacing w:after="0"/>
              <w:rPr>
                <w:sz w:val="20"/>
                <w:szCs w:val="20"/>
                <w:color w:val="auto"/>
              </w:rPr>
            </w:pPr>
            <w:r>
              <w:rPr>
                <w:rFonts w:ascii="Arial" w:cs="Arial" w:eastAsia="Arial" w:hAnsi="Arial"/>
                <w:sz w:val="6"/>
                <w:szCs w:val="6"/>
                <w:color w:val="auto"/>
              </w:rPr>
              <w:t>(1)</w:t>
            </w:r>
          </w:p>
        </w:tc>
        <w:tc>
          <w:tcPr>
            <w:tcW w:w="80" w:type="dxa"/>
            <w:vAlign w:val="bottom"/>
          </w:tcPr>
          <w:p>
            <w:pPr>
              <w:spacing w:after="0"/>
              <w:rPr>
                <w:sz w:val="12"/>
                <w:szCs w:val="12"/>
                <w:color w:val="auto"/>
              </w:rPr>
            </w:pPr>
          </w:p>
        </w:tc>
        <w:tc>
          <w:tcPr>
            <w:tcW w:w="13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308" w:hanging="308"/>
        <w:spacing w:after="0"/>
        <w:tabs>
          <w:tab w:leader="none" w:pos="3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Consolidated Adjusted EBITDA is a non-GAAP measure which is further defined on page </w:t>
      </w:r>
      <w:r>
        <w:rPr>
          <w:rFonts w:ascii="Arial" w:cs="Arial" w:eastAsia="Arial" w:hAnsi="Arial"/>
          <w:sz w:val="12"/>
          <w:szCs w:val="12"/>
          <w:u w:val="single" w:color="auto"/>
          <w:color w:val="0000FF"/>
        </w:rPr>
        <w:t>36</w:t>
      </w:r>
      <w:r>
        <w:rPr>
          <w:rFonts w:ascii="Arial" w:cs="Arial" w:eastAsia="Arial" w:hAnsi="Arial"/>
          <w:sz w:val="12"/>
          <w:szCs w:val="12"/>
          <w:color w:val="auto"/>
        </w:rPr>
        <w:t>, and reconciled to GAAP net earnings in Appendix A to this Proxy Statement.</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61" w:lineRule="exact"/>
        <w:rPr>
          <w:rFonts w:ascii="Arial" w:cs="Arial" w:eastAsia="Arial" w:hAnsi="Arial"/>
          <w:sz w:val="12"/>
          <w:szCs w:val="12"/>
          <w:color w:val="auto"/>
        </w:rPr>
      </w:pPr>
    </w:p>
    <w:p>
      <w:pPr>
        <w:ind w:left="5588"/>
        <w:spacing w:after="0"/>
        <w:rPr>
          <w:rFonts w:ascii="Arial" w:cs="Arial" w:eastAsia="Arial" w:hAnsi="Arial"/>
          <w:sz w:val="12"/>
          <w:szCs w:val="12"/>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47" w:name="page48"/>
    <w:bookmarkEnd w:id="47"/>
    <w:p>
      <w:pPr>
        <w:ind w:left="8"/>
        <w:spacing w:after="0" w:line="286" w:lineRule="auto"/>
        <w:rPr>
          <w:sz w:val="20"/>
          <w:szCs w:val="20"/>
          <w:color w:val="auto"/>
        </w:rPr>
      </w:pPr>
      <w:r>
        <w:rPr>
          <w:rFonts w:ascii="Arial" w:cs="Arial" w:eastAsia="Arial" w:hAnsi="Arial"/>
          <w:sz w:val="12"/>
          <w:szCs w:val="12"/>
          <w:color w:val="auto"/>
        </w:rPr>
        <w:t>The following table outlines the performance metrics, weighting and performance levels and actual performance achievement for the fiscal 2026 performance cycle for Mr. T. Johnson, whose short-term cash incentive is based on a combination of consolidated performance goals and performance goals for the Architectural Services and Architectural Metals Segments.</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Fiscal 2026 Short-Term Cash Incentive Performance Levels and</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Actual Performance – Mr. 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6"/>
              </w:rPr>
              <w:t>Percentage</w:t>
            </w:r>
          </w:p>
        </w:tc>
        <w:tc>
          <w:tcPr>
            <w:tcW w:w="0" w:type="dxa"/>
            <w:vAlign w:val="bottom"/>
          </w:tcPr>
          <w:p>
            <w:pPr>
              <w:spacing w:after="0"/>
              <w:rPr>
                <w:sz w:val="1"/>
                <w:szCs w:val="1"/>
                <w:color w:val="auto"/>
              </w:rPr>
            </w:pPr>
          </w:p>
        </w:tc>
      </w:tr>
      <w:tr>
        <w:trPr>
          <w:trHeight w:val="117"/>
        </w:trPr>
        <w:tc>
          <w:tcPr>
            <w:tcW w:w="2640" w:type="dxa"/>
            <w:vAlign w:val="bottom"/>
            <w:gridSpan w:val="2"/>
            <w:vMerge w:val="restart"/>
          </w:tcPr>
          <w:p>
            <w:pPr>
              <w:spacing w:after="0"/>
              <w:rPr>
                <w:sz w:val="20"/>
                <w:szCs w:val="20"/>
                <w:color w:val="auto"/>
              </w:rPr>
            </w:pPr>
            <w:r>
              <w:rPr>
                <w:rFonts w:ascii="Arial" w:cs="Arial" w:eastAsia="Arial" w:hAnsi="Arial"/>
                <w:sz w:val="10"/>
                <w:szCs w:val="10"/>
                <w:b w:val="1"/>
                <w:bCs w:val="1"/>
                <w:color w:val="05445E"/>
              </w:rPr>
              <w:t>Performance</w:t>
            </w:r>
          </w:p>
        </w:tc>
        <w:tc>
          <w:tcPr>
            <w:tcW w:w="10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05445E"/>
              </w:rPr>
              <w:t>Weighting</w:t>
            </w:r>
          </w:p>
        </w:tc>
        <w:tc>
          <w:tcPr>
            <w:tcW w:w="1460" w:type="dxa"/>
            <w:vAlign w:val="bottom"/>
            <w:gridSpan w:val="2"/>
            <w:vMerge w:val="restart"/>
          </w:tcPr>
          <w:p>
            <w:pPr>
              <w:ind w:left="460"/>
              <w:spacing w:after="0"/>
              <w:rPr>
                <w:sz w:val="20"/>
                <w:szCs w:val="20"/>
                <w:color w:val="auto"/>
              </w:rPr>
            </w:pPr>
            <w:r>
              <w:rPr>
                <w:rFonts w:ascii="Arial" w:cs="Arial" w:eastAsia="Arial" w:hAnsi="Arial"/>
                <w:sz w:val="10"/>
                <w:szCs w:val="10"/>
                <w:b w:val="1"/>
                <w:bCs w:val="1"/>
                <w:color w:val="05445E"/>
              </w:rPr>
              <w:t>Threshold</w:t>
            </w:r>
          </w:p>
        </w:tc>
        <w:tc>
          <w:tcPr>
            <w:tcW w:w="1480" w:type="dxa"/>
            <w:vAlign w:val="bottom"/>
            <w:gridSpan w:val="2"/>
            <w:vMerge w:val="restart"/>
          </w:tcPr>
          <w:p>
            <w:pPr>
              <w:ind w:left="560"/>
              <w:spacing w:after="0"/>
              <w:rPr>
                <w:sz w:val="20"/>
                <w:szCs w:val="20"/>
                <w:color w:val="auto"/>
              </w:rPr>
            </w:pPr>
            <w:r>
              <w:rPr>
                <w:rFonts w:ascii="Arial" w:cs="Arial" w:eastAsia="Arial" w:hAnsi="Arial"/>
                <w:sz w:val="10"/>
                <w:szCs w:val="10"/>
                <w:b w:val="1"/>
                <w:bCs w:val="1"/>
                <w:color w:val="05445E"/>
              </w:rPr>
              <w:t>Target</w:t>
            </w:r>
          </w:p>
        </w:tc>
        <w:tc>
          <w:tcPr>
            <w:tcW w:w="152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05445E"/>
              </w:rPr>
              <w:t>Maximum</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05445E"/>
                <w:w w:val="91"/>
              </w:rPr>
              <w:t>Actual</w:t>
            </w:r>
          </w:p>
        </w:tc>
        <w:tc>
          <w:tcPr>
            <w:tcW w:w="2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4"/>
              </w:rPr>
              <w:t>Performance</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8"/>
              </w:rPr>
              <w:t>Performance</w:t>
            </w:r>
          </w:p>
        </w:tc>
        <w:tc>
          <w:tcPr>
            <w:tcW w:w="280" w:type="dxa"/>
            <w:vAlign w:val="bottom"/>
          </w:tcPr>
          <w:p>
            <w:pPr>
              <w:spacing w:after="0"/>
              <w:rPr>
                <w:sz w:val="9"/>
                <w:szCs w:val="9"/>
                <w:color w:val="auto"/>
              </w:rPr>
            </w:pPr>
          </w:p>
        </w:tc>
        <w:tc>
          <w:tcPr>
            <w:tcW w:w="13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Achieved</w:t>
            </w:r>
          </w:p>
        </w:tc>
        <w:tc>
          <w:tcPr>
            <w:tcW w:w="0" w:type="dxa"/>
            <w:vAlign w:val="bottom"/>
          </w:tcPr>
          <w:p>
            <w:pPr>
              <w:spacing w:after="0"/>
              <w:rPr>
                <w:sz w:val="1"/>
                <w:szCs w:val="1"/>
                <w:color w:val="auto"/>
              </w:rPr>
            </w:pPr>
          </w:p>
        </w:tc>
      </w:tr>
      <w:tr>
        <w:trPr>
          <w:trHeight w:val="141"/>
        </w:trPr>
        <w:tc>
          <w:tcPr>
            <w:tcW w:w="25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Goal</w:t>
            </w:r>
          </w:p>
        </w:tc>
        <w:tc>
          <w:tcPr>
            <w:tcW w:w="80" w:type="dxa"/>
            <w:vAlign w:val="bottom"/>
            <w:tcBorders>
              <w:bottom w:val="single" w:sz="8" w:color="DBDBDB"/>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05445E"/>
              </w:rPr>
              <w:t>($ in millions)</w:t>
            </w:r>
          </w:p>
        </w:tc>
        <w:tc>
          <w:tcPr>
            <w:tcW w:w="100" w:type="dxa"/>
            <w:vAlign w:val="bottom"/>
            <w:tcBorders>
              <w:bottom w:val="single" w:sz="8" w:color="DBDBDB"/>
            </w:tcBorders>
          </w:tcPr>
          <w:p>
            <w:pPr>
              <w:spacing w:after="0"/>
              <w:rPr>
                <w:sz w:val="12"/>
                <w:szCs w:val="12"/>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BDBDB"/>
            </w:tcBorders>
          </w:tcPr>
          <w:p>
            <w:pPr>
              <w:spacing w:after="0"/>
              <w:rPr>
                <w:sz w:val="12"/>
                <w:szCs w:val="12"/>
                <w:color w:val="auto"/>
              </w:rPr>
            </w:pP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05445E"/>
              </w:rPr>
              <w:t>($ in millions)</w:t>
            </w:r>
          </w:p>
        </w:tc>
        <w:tc>
          <w:tcPr>
            <w:tcW w:w="60" w:type="dxa"/>
            <w:vAlign w:val="bottom"/>
            <w:tcBorders>
              <w:bottom w:val="single" w:sz="8" w:color="DBDBDB"/>
            </w:tcBorders>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3"/>
              </w:rPr>
              <w:t>($ in millions)</w:t>
            </w:r>
          </w:p>
        </w:tc>
        <w:tc>
          <w:tcPr>
            <w:tcW w:w="280" w:type="dxa"/>
            <w:vAlign w:val="bottom"/>
            <w:tcBorders>
              <w:bottom w:val="single" w:sz="8" w:color="DBDBDB"/>
            </w:tcBorders>
          </w:tcPr>
          <w:p>
            <w:pPr>
              <w:spacing w:after="0"/>
              <w:rPr>
                <w:sz w:val="12"/>
                <w:szCs w:val="12"/>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05445E"/>
              </w:rPr>
              <w:t>(%)</w:t>
            </w:r>
          </w:p>
        </w:tc>
        <w:tc>
          <w:tcPr>
            <w:tcW w:w="0" w:type="dxa"/>
            <w:vAlign w:val="bottom"/>
          </w:tcPr>
          <w:p>
            <w:pPr>
              <w:spacing w:after="0"/>
              <w:rPr>
                <w:sz w:val="1"/>
                <w:szCs w:val="1"/>
                <w:color w:val="auto"/>
              </w:rPr>
            </w:pPr>
          </w:p>
        </w:tc>
      </w:tr>
      <w:tr>
        <w:trPr>
          <w:trHeight w:val="64"/>
        </w:trPr>
        <w:tc>
          <w:tcPr>
            <w:tcW w:w="2640" w:type="dxa"/>
            <w:vAlign w:val="bottom"/>
            <w:gridSpan w:val="2"/>
            <w:vMerge w:val="restart"/>
            <w:shd w:val="clear" w:color="auto" w:fill="DBDBDB"/>
          </w:tcPr>
          <w:p>
            <w:pPr>
              <w:spacing w:after="0"/>
              <w:rPr>
                <w:sz w:val="20"/>
                <w:szCs w:val="20"/>
                <w:color w:val="auto"/>
              </w:rPr>
            </w:pPr>
            <w:r>
              <w:rPr>
                <w:rFonts w:ascii="Arial" w:cs="Arial" w:eastAsia="Arial" w:hAnsi="Arial"/>
                <w:sz w:val="10"/>
                <w:szCs w:val="10"/>
                <w:color w:val="auto"/>
              </w:rPr>
              <w:t>Consolidated Adjusted EBITDA</w:t>
            </w:r>
          </w:p>
        </w:tc>
        <w:tc>
          <w:tcPr>
            <w:tcW w:w="9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2"/>
              </w:rPr>
              <w:t>25.0</w:t>
            </w:r>
          </w:p>
        </w:tc>
        <w:tc>
          <w:tcPr>
            <w:tcW w:w="80" w:type="dxa"/>
            <w:vAlign w:val="bottom"/>
            <w:shd w:val="clear" w:color="auto" w:fill="DBDBDB"/>
          </w:tcPr>
          <w:p>
            <w:pPr>
              <w:spacing w:after="0"/>
              <w:rPr>
                <w:sz w:val="5"/>
                <w:szCs w:val="5"/>
                <w:color w:val="auto"/>
              </w:rPr>
            </w:pPr>
          </w:p>
        </w:tc>
        <w:tc>
          <w:tcPr>
            <w:tcW w:w="1360" w:type="dxa"/>
            <w:vAlign w:val="bottom"/>
            <w:vMerge w:val="restart"/>
            <w:shd w:val="clear" w:color="auto" w:fill="DBDBDB"/>
          </w:tcPr>
          <w:p>
            <w:pPr>
              <w:jc w:val="right"/>
              <w:ind w:right="252"/>
              <w:spacing w:after="0"/>
              <w:rPr>
                <w:sz w:val="20"/>
                <w:szCs w:val="20"/>
                <w:color w:val="auto"/>
              </w:rPr>
            </w:pPr>
            <w:r>
              <w:rPr>
                <w:rFonts w:ascii="Arial" w:cs="Arial" w:eastAsia="Arial" w:hAnsi="Arial"/>
                <w:sz w:val="10"/>
                <w:szCs w:val="10"/>
                <w:color w:val="auto"/>
              </w:rPr>
              <w:t>173.000</w:t>
            </w:r>
          </w:p>
        </w:tc>
        <w:tc>
          <w:tcPr>
            <w:tcW w:w="100" w:type="dxa"/>
            <w:vAlign w:val="bottom"/>
            <w:shd w:val="clear" w:color="auto" w:fill="DBDBDB"/>
          </w:tcPr>
          <w:p>
            <w:pPr>
              <w:spacing w:after="0"/>
              <w:rPr>
                <w:sz w:val="5"/>
                <w:szCs w:val="5"/>
                <w:color w:val="auto"/>
              </w:rPr>
            </w:pPr>
          </w:p>
        </w:tc>
        <w:tc>
          <w:tcPr>
            <w:tcW w:w="1400" w:type="dxa"/>
            <w:vAlign w:val="bottom"/>
            <w:vMerge w:val="restart"/>
            <w:shd w:val="clear" w:color="auto" w:fill="DBDBDB"/>
          </w:tcPr>
          <w:p>
            <w:pPr>
              <w:jc w:val="right"/>
              <w:ind w:right="232"/>
              <w:spacing w:after="0"/>
              <w:rPr>
                <w:sz w:val="20"/>
                <w:szCs w:val="20"/>
                <w:color w:val="auto"/>
              </w:rPr>
            </w:pPr>
            <w:r>
              <w:rPr>
                <w:rFonts w:ascii="Arial" w:cs="Arial" w:eastAsia="Arial" w:hAnsi="Arial"/>
                <w:sz w:val="10"/>
                <w:szCs w:val="10"/>
                <w:color w:val="auto"/>
              </w:rPr>
              <w:t>203.500</w:t>
            </w:r>
          </w:p>
        </w:tc>
        <w:tc>
          <w:tcPr>
            <w:tcW w:w="80" w:type="dxa"/>
            <w:vAlign w:val="bottom"/>
            <w:shd w:val="clear" w:color="auto" w:fill="DBDBDB"/>
          </w:tcPr>
          <w:p>
            <w:pPr>
              <w:spacing w:after="0"/>
              <w:rPr>
                <w:sz w:val="5"/>
                <w:szCs w:val="5"/>
                <w:color w:val="auto"/>
              </w:rPr>
            </w:pPr>
          </w:p>
        </w:tc>
        <w:tc>
          <w:tcPr>
            <w:tcW w:w="1460" w:type="dxa"/>
            <w:vAlign w:val="bottom"/>
            <w:vMerge w:val="restart"/>
            <w:shd w:val="clear" w:color="auto" w:fill="DBDBDB"/>
          </w:tcPr>
          <w:p>
            <w:pPr>
              <w:jc w:val="right"/>
              <w:ind w:right="232"/>
              <w:spacing w:after="0"/>
              <w:rPr>
                <w:sz w:val="20"/>
                <w:szCs w:val="20"/>
                <w:color w:val="auto"/>
              </w:rPr>
            </w:pPr>
            <w:r>
              <w:rPr>
                <w:rFonts w:ascii="Arial" w:cs="Arial" w:eastAsia="Arial" w:hAnsi="Arial"/>
                <w:sz w:val="10"/>
                <w:szCs w:val="10"/>
                <w:color w:val="auto"/>
              </w:rPr>
              <w:t>234.000</w:t>
            </w:r>
          </w:p>
        </w:tc>
        <w:tc>
          <w:tcPr>
            <w:tcW w:w="60" w:type="dxa"/>
            <w:vAlign w:val="bottom"/>
            <w:shd w:val="clear" w:color="auto" w:fill="DBDBDB"/>
          </w:tcPr>
          <w:p>
            <w:pPr>
              <w:spacing w:after="0"/>
              <w:rPr>
                <w:sz w:val="5"/>
                <w:szCs w:val="5"/>
                <w:color w:val="auto"/>
              </w:rPr>
            </w:pPr>
          </w:p>
        </w:tc>
        <w:tc>
          <w:tcPr>
            <w:tcW w:w="1520" w:type="dxa"/>
            <w:vAlign w:val="bottom"/>
            <w:vMerge w:val="restart"/>
            <w:shd w:val="clear" w:color="auto" w:fill="DBDBDB"/>
          </w:tcPr>
          <w:p>
            <w:pPr>
              <w:jc w:val="right"/>
              <w:ind w:right="292"/>
              <w:spacing w:after="0"/>
              <w:rPr>
                <w:sz w:val="20"/>
                <w:szCs w:val="20"/>
                <w:color w:val="auto"/>
              </w:rPr>
            </w:pPr>
            <w:r>
              <w:rPr>
                <w:rFonts w:ascii="Arial" w:cs="Arial" w:eastAsia="Arial" w:hAnsi="Arial"/>
                <w:sz w:val="10"/>
                <w:szCs w:val="10"/>
                <w:color w:val="auto"/>
              </w:rPr>
              <w:t>167.303</w:t>
            </w:r>
          </w:p>
        </w:tc>
        <w:tc>
          <w:tcPr>
            <w:tcW w:w="280" w:type="dxa"/>
            <w:vAlign w:val="bottom"/>
            <w:shd w:val="clear" w:color="auto" w:fill="DBDBDB"/>
          </w:tcPr>
          <w:p>
            <w:pPr>
              <w:jc w:val="right"/>
              <w:ind w:right="169"/>
              <w:spacing w:after="0" w:line="64" w:lineRule="exact"/>
              <w:rPr>
                <w:sz w:val="20"/>
                <w:szCs w:val="20"/>
                <w:color w:val="auto"/>
              </w:rPr>
            </w:pPr>
            <w:r>
              <w:rPr>
                <w:rFonts w:ascii="Arial" w:cs="Arial" w:eastAsia="Arial" w:hAnsi="Arial"/>
                <w:sz w:val="6"/>
                <w:szCs w:val="6"/>
                <w:color w:val="auto"/>
                <w:w w:val="81"/>
              </w:rPr>
              <w:t>(1)</w:t>
            </w:r>
          </w:p>
        </w:tc>
        <w:tc>
          <w:tcPr>
            <w:tcW w:w="1340" w:type="dxa"/>
            <w:vAlign w:val="bottom"/>
            <w:vMerge w:val="restart"/>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79"/>
        </w:trPr>
        <w:tc>
          <w:tcPr>
            <w:tcW w:w="2640" w:type="dxa"/>
            <w:vAlign w:val="bottom"/>
            <w:gridSpan w:val="2"/>
            <w:vMerge w:val="continue"/>
            <w:shd w:val="clear" w:color="auto" w:fill="DBDBDB"/>
          </w:tcPr>
          <w:p>
            <w:pPr>
              <w:spacing w:after="0"/>
              <w:rPr>
                <w:sz w:val="6"/>
                <w:szCs w:val="6"/>
                <w:color w:val="auto"/>
              </w:rPr>
            </w:pPr>
          </w:p>
        </w:tc>
        <w:tc>
          <w:tcPr>
            <w:tcW w:w="9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0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460" w:type="dxa"/>
            <w:vAlign w:val="bottom"/>
            <w:vMerge w:val="continue"/>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1520" w:type="dxa"/>
            <w:vAlign w:val="bottom"/>
            <w:vMerge w:val="continue"/>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3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640" w:type="dxa"/>
            <w:vAlign w:val="bottom"/>
            <w:gridSpan w:val="2"/>
          </w:tcPr>
          <w:p>
            <w:pPr>
              <w:spacing w:after="0"/>
              <w:rPr>
                <w:sz w:val="20"/>
                <w:szCs w:val="20"/>
                <w:color w:val="auto"/>
              </w:rPr>
            </w:pPr>
            <w:r>
              <w:rPr>
                <w:rFonts w:ascii="Arial" w:cs="Arial" w:eastAsia="Arial" w:hAnsi="Arial"/>
                <w:sz w:val="10"/>
                <w:szCs w:val="10"/>
                <w:color w:val="auto"/>
              </w:rPr>
              <w:t>Architectural Services Segment Net Sales</w:t>
            </w:r>
          </w:p>
        </w:tc>
        <w:tc>
          <w:tcPr>
            <w:tcW w:w="980" w:type="dxa"/>
            <w:vAlign w:val="bottom"/>
          </w:tcPr>
          <w:p>
            <w:pPr>
              <w:jc w:val="center"/>
              <w:spacing w:after="0"/>
              <w:rPr>
                <w:sz w:val="20"/>
                <w:szCs w:val="20"/>
                <w:color w:val="auto"/>
              </w:rPr>
            </w:pPr>
            <w:r>
              <w:rPr>
                <w:rFonts w:ascii="Arial" w:cs="Arial" w:eastAsia="Arial" w:hAnsi="Arial"/>
                <w:sz w:val="10"/>
                <w:szCs w:val="10"/>
                <w:color w:val="auto"/>
                <w:w w:val="92"/>
              </w:rPr>
              <w:t>12.5</w:t>
            </w:r>
          </w:p>
        </w:tc>
        <w:tc>
          <w:tcPr>
            <w:tcW w:w="80" w:type="dxa"/>
            <w:vAlign w:val="bottom"/>
          </w:tcPr>
          <w:p>
            <w:pPr>
              <w:spacing w:after="0"/>
              <w:rPr>
                <w:sz w:val="12"/>
                <w:szCs w:val="12"/>
                <w:color w:val="auto"/>
              </w:rPr>
            </w:pPr>
          </w:p>
        </w:tc>
        <w:tc>
          <w:tcPr>
            <w:tcW w:w="1360" w:type="dxa"/>
            <w:vAlign w:val="bottom"/>
          </w:tcPr>
          <w:p>
            <w:pPr>
              <w:jc w:val="right"/>
              <w:ind w:right="252"/>
              <w:spacing w:after="0"/>
              <w:rPr>
                <w:sz w:val="20"/>
                <w:szCs w:val="20"/>
                <w:color w:val="auto"/>
              </w:rPr>
            </w:pPr>
            <w:r>
              <w:rPr>
                <w:rFonts w:ascii="Arial" w:cs="Arial" w:eastAsia="Arial" w:hAnsi="Arial"/>
                <w:sz w:val="10"/>
                <w:szCs w:val="10"/>
                <w:color w:val="auto"/>
              </w:rPr>
              <w:t>373.500</w:t>
            </w:r>
          </w:p>
        </w:tc>
        <w:tc>
          <w:tcPr>
            <w:tcW w:w="100" w:type="dxa"/>
            <w:vAlign w:val="bottom"/>
          </w:tcPr>
          <w:p>
            <w:pPr>
              <w:spacing w:after="0"/>
              <w:rPr>
                <w:sz w:val="12"/>
                <w:szCs w:val="12"/>
                <w:color w:val="auto"/>
              </w:rPr>
            </w:pPr>
          </w:p>
        </w:tc>
        <w:tc>
          <w:tcPr>
            <w:tcW w:w="1400" w:type="dxa"/>
            <w:vAlign w:val="bottom"/>
          </w:tcPr>
          <w:p>
            <w:pPr>
              <w:jc w:val="right"/>
              <w:ind w:right="232"/>
              <w:spacing w:after="0"/>
              <w:rPr>
                <w:sz w:val="20"/>
                <w:szCs w:val="20"/>
                <w:color w:val="auto"/>
              </w:rPr>
            </w:pPr>
            <w:r>
              <w:rPr>
                <w:rFonts w:ascii="Arial" w:cs="Arial" w:eastAsia="Arial" w:hAnsi="Arial"/>
                <w:sz w:val="10"/>
                <w:szCs w:val="10"/>
                <w:color w:val="auto"/>
              </w:rPr>
              <w:t>415.000</w:t>
            </w:r>
          </w:p>
        </w:tc>
        <w:tc>
          <w:tcPr>
            <w:tcW w:w="80" w:type="dxa"/>
            <w:vAlign w:val="bottom"/>
          </w:tcPr>
          <w:p>
            <w:pPr>
              <w:spacing w:after="0"/>
              <w:rPr>
                <w:sz w:val="12"/>
                <w:szCs w:val="12"/>
                <w:color w:val="auto"/>
              </w:rPr>
            </w:pPr>
          </w:p>
        </w:tc>
        <w:tc>
          <w:tcPr>
            <w:tcW w:w="1460" w:type="dxa"/>
            <w:vAlign w:val="bottom"/>
          </w:tcPr>
          <w:p>
            <w:pPr>
              <w:jc w:val="right"/>
              <w:ind w:right="232"/>
              <w:spacing w:after="0"/>
              <w:rPr>
                <w:sz w:val="20"/>
                <w:szCs w:val="20"/>
                <w:color w:val="auto"/>
              </w:rPr>
            </w:pPr>
            <w:r>
              <w:rPr>
                <w:rFonts w:ascii="Arial" w:cs="Arial" w:eastAsia="Arial" w:hAnsi="Arial"/>
                <w:sz w:val="10"/>
                <w:szCs w:val="10"/>
                <w:color w:val="auto"/>
              </w:rPr>
              <w:t>456.500</w:t>
            </w:r>
          </w:p>
        </w:tc>
        <w:tc>
          <w:tcPr>
            <w:tcW w:w="60" w:type="dxa"/>
            <w:vAlign w:val="bottom"/>
          </w:tcPr>
          <w:p>
            <w:pPr>
              <w:spacing w:after="0"/>
              <w:rPr>
                <w:sz w:val="12"/>
                <w:szCs w:val="12"/>
                <w:color w:val="auto"/>
              </w:rPr>
            </w:pPr>
          </w:p>
        </w:tc>
        <w:tc>
          <w:tcPr>
            <w:tcW w:w="1520" w:type="dxa"/>
            <w:vAlign w:val="bottom"/>
          </w:tcPr>
          <w:p>
            <w:pPr>
              <w:jc w:val="right"/>
              <w:ind w:right="292"/>
              <w:spacing w:after="0"/>
              <w:rPr>
                <w:sz w:val="20"/>
                <w:szCs w:val="20"/>
                <w:color w:val="auto"/>
              </w:rPr>
            </w:pPr>
            <w:r>
              <w:rPr>
                <w:rFonts w:ascii="Arial" w:cs="Arial" w:eastAsia="Arial" w:hAnsi="Arial"/>
                <w:sz w:val="10"/>
                <w:szCs w:val="10"/>
                <w:color w:val="auto"/>
              </w:rPr>
              <w:t>439.232</w:t>
            </w:r>
          </w:p>
        </w:tc>
        <w:tc>
          <w:tcPr>
            <w:tcW w:w="280" w:type="dxa"/>
            <w:vAlign w:val="bottom"/>
          </w:tcPr>
          <w:p>
            <w:pPr>
              <w:spacing w:after="0"/>
              <w:rPr>
                <w:sz w:val="12"/>
                <w:szCs w:val="12"/>
                <w:color w:val="auto"/>
              </w:rPr>
            </w:pPr>
          </w:p>
        </w:tc>
        <w:tc>
          <w:tcPr>
            <w:tcW w:w="1340" w:type="dxa"/>
            <w:vAlign w:val="bottom"/>
          </w:tcPr>
          <w:p>
            <w:pPr>
              <w:jc w:val="right"/>
              <w:ind w:right="112"/>
              <w:spacing w:after="0"/>
              <w:rPr>
                <w:sz w:val="20"/>
                <w:szCs w:val="20"/>
                <w:color w:val="auto"/>
              </w:rPr>
            </w:pPr>
            <w:r>
              <w:rPr>
                <w:rFonts w:ascii="Arial" w:cs="Arial" w:eastAsia="Arial" w:hAnsi="Arial"/>
                <w:sz w:val="10"/>
                <w:szCs w:val="10"/>
                <w:color w:val="auto"/>
              </w:rPr>
              <w:t>158.39</w:t>
            </w:r>
          </w:p>
        </w:tc>
        <w:tc>
          <w:tcPr>
            <w:tcW w:w="0" w:type="dxa"/>
            <w:vAlign w:val="bottom"/>
          </w:tcPr>
          <w:p>
            <w:pPr>
              <w:spacing w:after="0"/>
              <w:rPr>
                <w:sz w:val="1"/>
                <w:szCs w:val="1"/>
                <w:color w:val="auto"/>
              </w:rPr>
            </w:pPr>
          </w:p>
        </w:tc>
      </w:tr>
      <w:tr>
        <w:trPr>
          <w:trHeight w:val="91"/>
        </w:trPr>
        <w:tc>
          <w:tcPr>
            <w:tcW w:w="2640" w:type="dxa"/>
            <w:vAlign w:val="bottom"/>
            <w:gridSpan w:val="2"/>
            <w:vMerge w:val="restart"/>
            <w:shd w:val="clear" w:color="auto" w:fill="DBDBDB"/>
          </w:tcPr>
          <w:p>
            <w:pPr>
              <w:spacing w:after="0"/>
              <w:rPr>
                <w:sz w:val="20"/>
                <w:szCs w:val="20"/>
                <w:color w:val="auto"/>
              </w:rPr>
            </w:pPr>
            <w:r>
              <w:rPr>
                <w:rFonts w:ascii="Arial" w:cs="Arial" w:eastAsia="Arial" w:hAnsi="Arial"/>
                <w:sz w:val="10"/>
                <w:szCs w:val="10"/>
                <w:color w:val="auto"/>
              </w:rPr>
              <w:t>Architectural Services Segment Adjusted EBITDA</w:t>
            </w:r>
          </w:p>
        </w:tc>
        <w:tc>
          <w:tcPr>
            <w:tcW w:w="9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2"/>
              </w:rPr>
              <w:t>25.0</w:t>
            </w:r>
          </w:p>
        </w:tc>
        <w:tc>
          <w:tcPr>
            <w:tcW w:w="80" w:type="dxa"/>
            <w:vAlign w:val="bottom"/>
            <w:shd w:val="clear" w:color="auto" w:fill="DBDBDB"/>
          </w:tcPr>
          <w:p>
            <w:pPr>
              <w:spacing w:after="0"/>
              <w:rPr>
                <w:sz w:val="7"/>
                <w:szCs w:val="7"/>
                <w:color w:val="auto"/>
              </w:rPr>
            </w:pPr>
          </w:p>
        </w:tc>
        <w:tc>
          <w:tcPr>
            <w:tcW w:w="1360" w:type="dxa"/>
            <w:vAlign w:val="bottom"/>
            <w:vMerge w:val="restart"/>
            <w:shd w:val="clear" w:color="auto" w:fill="DBDBDB"/>
          </w:tcPr>
          <w:p>
            <w:pPr>
              <w:jc w:val="right"/>
              <w:ind w:right="252"/>
              <w:spacing w:after="0"/>
              <w:rPr>
                <w:sz w:val="20"/>
                <w:szCs w:val="20"/>
                <w:color w:val="auto"/>
              </w:rPr>
            </w:pPr>
            <w:r>
              <w:rPr>
                <w:rFonts w:ascii="Arial" w:cs="Arial" w:eastAsia="Arial" w:hAnsi="Arial"/>
                <w:sz w:val="10"/>
                <w:szCs w:val="10"/>
                <w:color w:val="auto"/>
              </w:rPr>
              <w:t>30.500</w:t>
            </w:r>
          </w:p>
        </w:tc>
        <w:tc>
          <w:tcPr>
            <w:tcW w:w="100" w:type="dxa"/>
            <w:vAlign w:val="bottom"/>
            <w:shd w:val="clear" w:color="auto" w:fill="DBDBDB"/>
          </w:tcPr>
          <w:p>
            <w:pPr>
              <w:spacing w:after="0"/>
              <w:rPr>
                <w:sz w:val="7"/>
                <w:szCs w:val="7"/>
                <w:color w:val="auto"/>
              </w:rPr>
            </w:pPr>
          </w:p>
        </w:tc>
        <w:tc>
          <w:tcPr>
            <w:tcW w:w="1400" w:type="dxa"/>
            <w:vAlign w:val="bottom"/>
            <w:vMerge w:val="restart"/>
            <w:shd w:val="clear" w:color="auto" w:fill="DBDBDB"/>
          </w:tcPr>
          <w:p>
            <w:pPr>
              <w:jc w:val="right"/>
              <w:ind w:right="232"/>
              <w:spacing w:after="0"/>
              <w:rPr>
                <w:sz w:val="20"/>
                <w:szCs w:val="20"/>
                <w:color w:val="auto"/>
              </w:rPr>
            </w:pPr>
            <w:r>
              <w:rPr>
                <w:rFonts w:ascii="Arial" w:cs="Arial" w:eastAsia="Arial" w:hAnsi="Arial"/>
                <w:sz w:val="10"/>
                <w:szCs w:val="10"/>
                <w:color w:val="auto"/>
              </w:rPr>
              <w:t>35.900</w:t>
            </w:r>
          </w:p>
        </w:tc>
        <w:tc>
          <w:tcPr>
            <w:tcW w:w="80" w:type="dxa"/>
            <w:vAlign w:val="bottom"/>
            <w:shd w:val="clear" w:color="auto" w:fill="DBDBDB"/>
          </w:tcPr>
          <w:p>
            <w:pPr>
              <w:spacing w:after="0"/>
              <w:rPr>
                <w:sz w:val="7"/>
                <w:szCs w:val="7"/>
                <w:color w:val="auto"/>
              </w:rPr>
            </w:pPr>
          </w:p>
        </w:tc>
        <w:tc>
          <w:tcPr>
            <w:tcW w:w="1460" w:type="dxa"/>
            <w:vAlign w:val="bottom"/>
            <w:vMerge w:val="restart"/>
            <w:shd w:val="clear" w:color="auto" w:fill="DBDBDB"/>
          </w:tcPr>
          <w:p>
            <w:pPr>
              <w:jc w:val="right"/>
              <w:ind w:right="232"/>
              <w:spacing w:after="0"/>
              <w:rPr>
                <w:sz w:val="20"/>
                <w:szCs w:val="20"/>
                <w:color w:val="auto"/>
              </w:rPr>
            </w:pPr>
            <w:r>
              <w:rPr>
                <w:rFonts w:ascii="Arial" w:cs="Arial" w:eastAsia="Arial" w:hAnsi="Arial"/>
                <w:sz w:val="10"/>
                <w:szCs w:val="10"/>
                <w:color w:val="auto"/>
              </w:rPr>
              <w:t>41.300</w:t>
            </w:r>
          </w:p>
        </w:tc>
        <w:tc>
          <w:tcPr>
            <w:tcW w:w="60" w:type="dxa"/>
            <w:vAlign w:val="bottom"/>
            <w:shd w:val="clear" w:color="auto" w:fill="DBDBDB"/>
          </w:tcPr>
          <w:p>
            <w:pPr>
              <w:spacing w:after="0"/>
              <w:rPr>
                <w:sz w:val="7"/>
                <w:szCs w:val="7"/>
                <w:color w:val="auto"/>
              </w:rPr>
            </w:pPr>
          </w:p>
        </w:tc>
        <w:tc>
          <w:tcPr>
            <w:tcW w:w="1520" w:type="dxa"/>
            <w:vAlign w:val="bottom"/>
            <w:vMerge w:val="restart"/>
            <w:shd w:val="clear" w:color="auto" w:fill="DBDBDB"/>
          </w:tcPr>
          <w:p>
            <w:pPr>
              <w:jc w:val="right"/>
              <w:ind w:right="292"/>
              <w:spacing w:after="0"/>
              <w:rPr>
                <w:sz w:val="20"/>
                <w:szCs w:val="20"/>
                <w:color w:val="auto"/>
              </w:rPr>
            </w:pPr>
            <w:r>
              <w:rPr>
                <w:rFonts w:ascii="Arial" w:cs="Arial" w:eastAsia="Arial" w:hAnsi="Arial"/>
                <w:sz w:val="10"/>
                <w:szCs w:val="10"/>
                <w:color w:val="auto"/>
              </w:rPr>
              <w:t>30.856</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(1)</w:t>
            </w:r>
          </w:p>
        </w:tc>
        <w:tc>
          <w:tcPr>
            <w:tcW w:w="1340" w:type="dxa"/>
            <w:vAlign w:val="bottom"/>
            <w:vMerge w:val="restart"/>
            <w:shd w:val="clear" w:color="auto" w:fill="DBDBDB"/>
          </w:tcPr>
          <w:p>
            <w:pPr>
              <w:jc w:val="right"/>
              <w:ind w:right="112"/>
              <w:spacing w:after="0"/>
              <w:rPr>
                <w:sz w:val="20"/>
                <w:szCs w:val="20"/>
                <w:color w:val="auto"/>
              </w:rPr>
            </w:pPr>
            <w:r>
              <w:rPr>
                <w:rFonts w:ascii="Arial" w:cs="Arial" w:eastAsia="Arial" w:hAnsi="Arial"/>
                <w:sz w:val="10"/>
                <w:szCs w:val="10"/>
                <w:color w:val="auto"/>
              </w:rPr>
              <w:t>53.30</w:t>
            </w:r>
          </w:p>
        </w:tc>
        <w:tc>
          <w:tcPr>
            <w:tcW w:w="0" w:type="dxa"/>
            <w:vAlign w:val="bottom"/>
          </w:tcPr>
          <w:p>
            <w:pPr>
              <w:spacing w:after="0"/>
              <w:rPr>
                <w:sz w:val="1"/>
                <w:szCs w:val="1"/>
                <w:color w:val="auto"/>
              </w:rPr>
            </w:pPr>
          </w:p>
        </w:tc>
      </w:tr>
      <w:tr>
        <w:trPr>
          <w:trHeight w:val="70"/>
        </w:trPr>
        <w:tc>
          <w:tcPr>
            <w:tcW w:w="2640" w:type="dxa"/>
            <w:vAlign w:val="bottom"/>
            <w:gridSpan w:val="2"/>
            <w:vMerge w:val="continue"/>
            <w:shd w:val="clear" w:color="auto" w:fill="DBDBDB"/>
          </w:tcPr>
          <w:p>
            <w:pPr>
              <w:spacing w:after="0"/>
              <w:rPr>
                <w:sz w:val="6"/>
                <w:szCs w:val="6"/>
                <w:color w:val="auto"/>
              </w:rPr>
            </w:pPr>
          </w:p>
        </w:tc>
        <w:tc>
          <w:tcPr>
            <w:tcW w:w="9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0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460" w:type="dxa"/>
            <w:vAlign w:val="bottom"/>
            <w:vMerge w:val="continue"/>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1520" w:type="dxa"/>
            <w:vAlign w:val="bottom"/>
            <w:vMerge w:val="continue"/>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3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640" w:type="dxa"/>
            <w:vAlign w:val="bottom"/>
            <w:gridSpan w:val="2"/>
          </w:tcPr>
          <w:p>
            <w:pPr>
              <w:spacing w:after="0"/>
              <w:rPr>
                <w:sz w:val="20"/>
                <w:szCs w:val="20"/>
                <w:color w:val="auto"/>
              </w:rPr>
            </w:pPr>
            <w:r>
              <w:rPr>
                <w:rFonts w:ascii="Arial" w:cs="Arial" w:eastAsia="Arial" w:hAnsi="Arial"/>
                <w:sz w:val="10"/>
                <w:szCs w:val="10"/>
                <w:color w:val="auto"/>
              </w:rPr>
              <w:t>Architectural Metals Segment Net Sales</w:t>
            </w:r>
          </w:p>
        </w:tc>
        <w:tc>
          <w:tcPr>
            <w:tcW w:w="980" w:type="dxa"/>
            <w:vAlign w:val="bottom"/>
          </w:tcPr>
          <w:p>
            <w:pPr>
              <w:jc w:val="center"/>
              <w:spacing w:after="0"/>
              <w:rPr>
                <w:sz w:val="20"/>
                <w:szCs w:val="20"/>
                <w:color w:val="auto"/>
              </w:rPr>
            </w:pPr>
            <w:r>
              <w:rPr>
                <w:rFonts w:ascii="Arial" w:cs="Arial" w:eastAsia="Arial" w:hAnsi="Arial"/>
                <w:sz w:val="10"/>
                <w:szCs w:val="10"/>
                <w:color w:val="auto"/>
                <w:w w:val="92"/>
              </w:rPr>
              <w:t>12.5</w:t>
            </w:r>
          </w:p>
        </w:tc>
        <w:tc>
          <w:tcPr>
            <w:tcW w:w="80" w:type="dxa"/>
            <w:vAlign w:val="bottom"/>
          </w:tcPr>
          <w:p>
            <w:pPr>
              <w:spacing w:after="0"/>
              <w:rPr>
                <w:sz w:val="12"/>
                <w:szCs w:val="12"/>
                <w:color w:val="auto"/>
              </w:rPr>
            </w:pPr>
          </w:p>
        </w:tc>
        <w:tc>
          <w:tcPr>
            <w:tcW w:w="1360" w:type="dxa"/>
            <w:vAlign w:val="bottom"/>
          </w:tcPr>
          <w:p>
            <w:pPr>
              <w:jc w:val="right"/>
              <w:ind w:right="252"/>
              <w:spacing w:after="0"/>
              <w:rPr>
                <w:sz w:val="20"/>
                <w:szCs w:val="20"/>
                <w:color w:val="auto"/>
              </w:rPr>
            </w:pPr>
            <w:r>
              <w:rPr>
                <w:rFonts w:ascii="Arial" w:cs="Arial" w:eastAsia="Arial" w:hAnsi="Arial"/>
                <w:sz w:val="10"/>
                <w:szCs w:val="10"/>
                <w:color w:val="auto"/>
              </w:rPr>
              <w:t>452.200</w:t>
            </w:r>
          </w:p>
        </w:tc>
        <w:tc>
          <w:tcPr>
            <w:tcW w:w="100" w:type="dxa"/>
            <w:vAlign w:val="bottom"/>
          </w:tcPr>
          <w:p>
            <w:pPr>
              <w:spacing w:after="0"/>
              <w:rPr>
                <w:sz w:val="12"/>
                <w:szCs w:val="12"/>
                <w:color w:val="auto"/>
              </w:rPr>
            </w:pPr>
          </w:p>
        </w:tc>
        <w:tc>
          <w:tcPr>
            <w:tcW w:w="1400" w:type="dxa"/>
            <w:vAlign w:val="bottom"/>
          </w:tcPr>
          <w:p>
            <w:pPr>
              <w:jc w:val="right"/>
              <w:ind w:right="232"/>
              <w:spacing w:after="0"/>
              <w:rPr>
                <w:sz w:val="20"/>
                <w:szCs w:val="20"/>
                <w:color w:val="auto"/>
              </w:rPr>
            </w:pPr>
            <w:r>
              <w:rPr>
                <w:rFonts w:ascii="Arial" w:cs="Arial" w:eastAsia="Arial" w:hAnsi="Arial"/>
                <w:sz w:val="10"/>
                <w:szCs w:val="10"/>
                <w:color w:val="auto"/>
              </w:rPr>
              <w:t>532.000</w:t>
            </w:r>
          </w:p>
        </w:tc>
        <w:tc>
          <w:tcPr>
            <w:tcW w:w="80" w:type="dxa"/>
            <w:vAlign w:val="bottom"/>
          </w:tcPr>
          <w:p>
            <w:pPr>
              <w:spacing w:after="0"/>
              <w:rPr>
                <w:sz w:val="12"/>
                <w:szCs w:val="12"/>
                <w:color w:val="auto"/>
              </w:rPr>
            </w:pPr>
          </w:p>
        </w:tc>
        <w:tc>
          <w:tcPr>
            <w:tcW w:w="1460" w:type="dxa"/>
            <w:vAlign w:val="bottom"/>
          </w:tcPr>
          <w:p>
            <w:pPr>
              <w:jc w:val="right"/>
              <w:ind w:right="232"/>
              <w:spacing w:after="0"/>
              <w:rPr>
                <w:sz w:val="20"/>
                <w:szCs w:val="20"/>
                <w:color w:val="auto"/>
              </w:rPr>
            </w:pPr>
            <w:r>
              <w:rPr>
                <w:rFonts w:ascii="Arial" w:cs="Arial" w:eastAsia="Arial" w:hAnsi="Arial"/>
                <w:sz w:val="10"/>
                <w:szCs w:val="10"/>
                <w:color w:val="auto"/>
              </w:rPr>
              <w:t>611.800</w:t>
            </w:r>
          </w:p>
        </w:tc>
        <w:tc>
          <w:tcPr>
            <w:tcW w:w="60" w:type="dxa"/>
            <w:vAlign w:val="bottom"/>
          </w:tcPr>
          <w:p>
            <w:pPr>
              <w:spacing w:after="0"/>
              <w:rPr>
                <w:sz w:val="12"/>
                <w:szCs w:val="12"/>
                <w:color w:val="auto"/>
              </w:rPr>
            </w:pPr>
          </w:p>
        </w:tc>
        <w:tc>
          <w:tcPr>
            <w:tcW w:w="1520" w:type="dxa"/>
            <w:vAlign w:val="bottom"/>
          </w:tcPr>
          <w:p>
            <w:pPr>
              <w:jc w:val="right"/>
              <w:ind w:right="632"/>
              <w:spacing w:after="0"/>
              <w:rPr>
                <w:sz w:val="20"/>
                <w:szCs w:val="20"/>
                <w:color w:val="auto"/>
              </w:rPr>
            </w:pPr>
            <w:r>
              <w:rPr>
                <w:rFonts w:ascii="Arial" w:cs="Arial" w:eastAsia="Arial" w:hAnsi="Arial"/>
                <w:sz w:val="10"/>
                <w:szCs w:val="10"/>
                <w:color w:val="auto"/>
              </w:rPr>
              <w:t>504.028</w:t>
            </w:r>
          </w:p>
        </w:tc>
        <w:tc>
          <w:tcPr>
            <w:tcW w:w="280" w:type="dxa"/>
            <w:vAlign w:val="bottom"/>
          </w:tcPr>
          <w:p>
            <w:pPr>
              <w:spacing w:after="0"/>
              <w:rPr>
                <w:sz w:val="12"/>
                <w:szCs w:val="12"/>
                <w:color w:val="auto"/>
              </w:rPr>
            </w:pPr>
          </w:p>
        </w:tc>
        <w:tc>
          <w:tcPr>
            <w:tcW w:w="1340" w:type="dxa"/>
            <w:vAlign w:val="bottom"/>
          </w:tcPr>
          <w:p>
            <w:pPr>
              <w:jc w:val="right"/>
              <w:ind w:right="752"/>
              <w:spacing w:after="0"/>
              <w:rPr>
                <w:sz w:val="20"/>
                <w:szCs w:val="20"/>
                <w:color w:val="auto"/>
              </w:rPr>
            </w:pPr>
            <w:r>
              <w:rPr>
                <w:rFonts w:ascii="Arial" w:cs="Arial" w:eastAsia="Arial" w:hAnsi="Arial"/>
                <w:sz w:val="10"/>
                <w:szCs w:val="10"/>
                <w:color w:val="auto"/>
              </w:rPr>
              <w:t>82.47</w:t>
            </w:r>
          </w:p>
        </w:tc>
        <w:tc>
          <w:tcPr>
            <w:tcW w:w="0" w:type="dxa"/>
            <w:vAlign w:val="bottom"/>
          </w:tcPr>
          <w:p>
            <w:pPr>
              <w:spacing w:after="0"/>
              <w:rPr>
                <w:sz w:val="1"/>
                <w:szCs w:val="1"/>
                <w:color w:val="auto"/>
              </w:rPr>
            </w:pPr>
          </w:p>
        </w:tc>
      </w:tr>
      <w:tr>
        <w:trPr>
          <w:trHeight w:val="91"/>
        </w:trPr>
        <w:tc>
          <w:tcPr>
            <w:tcW w:w="2640" w:type="dxa"/>
            <w:vAlign w:val="bottom"/>
            <w:gridSpan w:val="2"/>
            <w:vMerge w:val="restart"/>
            <w:shd w:val="clear" w:color="auto" w:fill="DBDBDB"/>
          </w:tcPr>
          <w:p>
            <w:pPr>
              <w:spacing w:after="0"/>
              <w:rPr>
                <w:sz w:val="20"/>
                <w:szCs w:val="20"/>
                <w:color w:val="auto"/>
              </w:rPr>
            </w:pPr>
            <w:r>
              <w:rPr>
                <w:rFonts w:ascii="Arial" w:cs="Arial" w:eastAsia="Arial" w:hAnsi="Arial"/>
                <w:sz w:val="10"/>
                <w:szCs w:val="10"/>
                <w:color w:val="auto"/>
              </w:rPr>
              <w:t>Architectural Metals Segment Adjusted EBITDA</w:t>
            </w:r>
          </w:p>
        </w:tc>
        <w:tc>
          <w:tcPr>
            <w:tcW w:w="9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2"/>
              </w:rPr>
              <w:t>25.0</w:t>
            </w:r>
          </w:p>
        </w:tc>
        <w:tc>
          <w:tcPr>
            <w:tcW w:w="80" w:type="dxa"/>
            <w:vAlign w:val="bottom"/>
            <w:shd w:val="clear" w:color="auto" w:fill="DBDBDB"/>
          </w:tcPr>
          <w:p>
            <w:pPr>
              <w:spacing w:after="0"/>
              <w:rPr>
                <w:sz w:val="7"/>
                <w:szCs w:val="7"/>
                <w:color w:val="auto"/>
              </w:rPr>
            </w:pPr>
          </w:p>
        </w:tc>
        <w:tc>
          <w:tcPr>
            <w:tcW w:w="1360" w:type="dxa"/>
            <w:vAlign w:val="bottom"/>
            <w:vMerge w:val="restart"/>
            <w:shd w:val="clear" w:color="auto" w:fill="DBDBDB"/>
          </w:tcPr>
          <w:p>
            <w:pPr>
              <w:jc w:val="right"/>
              <w:ind w:right="252"/>
              <w:spacing w:after="0"/>
              <w:rPr>
                <w:sz w:val="20"/>
                <w:szCs w:val="20"/>
                <w:color w:val="auto"/>
              </w:rPr>
            </w:pPr>
            <w:r>
              <w:rPr>
                <w:rFonts w:ascii="Arial" w:cs="Arial" w:eastAsia="Arial" w:hAnsi="Arial"/>
                <w:sz w:val="10"/>
                <w:szCs w:val="10"/>
                <w:color w:val="auto"/>
              </w:rPr>
              <w:t>62.300</w:t>
            </w:r>
          </w:p>
        </w:tc>
        <w:tc>
          <w:tcPr>
            <w:tcW w:w="100" w:type="dxa"/>
            <w:vAlign w:val="bottom"/>
            <w:shd w:val="clear" w:color="auto" w:fill="DBDBDB"/>
          </w:tcPr>
          <w:p>
            <w:pPr>
              <w:spacing w:after="0"/>
              <w:rPr>
                <w:sz w:val="7"/>
                <w:szCs w:val="7"/>
                <w:color w:val="auto"/>
              </w:rPr>
            </w:pPr>
          </w:p>
        </w:tc>
        <w:tc>
          <w:tcPr>
            <w:tcW w:w="1400" w:type="dxa"/>
            <w:vAlign w:val="bottom"/>
            <w:vMerge w:val="restart"/>
            <w:shd w:val="clear" w:color="auto" w:fill="DBDBDB"/>
          </w:tcPr>
          <w:p>
            <w:pPr>
              <w:jc w:val="right"/>
              <w:ind w:right="232"/>
              <w:spacing w:after="0"/>
              <w:rPr>
                <w:sz w:val="20"/>
                <w:szCs w:val="20"/>
                <w:color w:val="auto"/>
              </w:rPr>
            </w:pPr>
            <w:r>
              <w:rPr>
                <w:rFonts w:ascii="Arial" w:cs="Arial" w:eastAsia="Arial" w:hAnsi="Arial"/>
                <w:sz w:val="10"/>
                <w:szCs w:val="10"/>
                <w:color w:val="auto"/>
              </w:rPr>
              <w:t>73.300</w:t>
            </w:r>
          </w:p>
        </w:tc>
        <w:tc>
          <w:tcPr>
            <w:tcW w:w="80" w:type="dxa"/>
            <w:vAlign w:val="bottom"/>
            <w:shd w:val="clear" w:color="auto" w:fill="DBDBDB"/>
          </w:tcPr>
          <w:p>
            <w:pPr>
              <w:spacing w:after="0"/>
              <w:rPr>
                <w:sz w:val="7"/>
                <w:szCs w:val="7"/>
                <w:color w:val="auto"/>
              </w:rPr>
            </w:pPr>
          </w:p>
        </w:tc>
        <w:tc>
          <w:tcPr>
            <w:tcW w:w="1460" w:type="dxa"/>
            <w:vAlign w:val="bottom"/>
            <w:vMerge w:val="restart"/>
            <w:shd w:val="clear" w:color="auto" w:fill="DBDBDB"/>
          </w:tcPr>
          <w:p>
            <w:pPr>
              <w:jc w:val="right"/>
              <w:ind w:right="232"/>
              <w:spacing w:after="0"/>
              <w:rPr>
                <w:sz w:val="20"/>
                <w:szCs w:val="20"/>
                <w:color w:val="auto"/>
              </w:rPr>
            </w:pPr>
            <w:r>
              <w:rPr>
                <w:rFonts w:ascii="Arial" w:cs="Arial" w:eastAsia="Arial" w:hAnsi="Arial"/>
                <w:sz w:val="10"/>
                <w:szCs w:val="10"/>
                <w:color w:val="auto"/>
              </w:rPr>
              <w:t>84.300</w:t>
            </w:r>
          </w:p>
        </w:tc>
        <w:tc>
          <w:tcPr>
            <w:tcW w:w="60" w:type="dxa"/>
            <w:vAlign w:val="bottom"/>
            <w:shd w:val="clear" w:color="auto" w:fill="DBDBDB"/>
          </w:tcPr>
          <w:p>
            <w:pPr>
              <w:spacing w:after="0"/>
              <w:rPr>
                <w:sz w:val="7"/>
                <w:szCs w:val="7"/>
                <w:color w:val="auto"/>
              </w:rPr>
            </w:pPr>
          </w:p>
        </w:tc>
        <w:tc>
          <w:tcPr>
            <w:tcW w:w="1520" w:type="dxa"/>
            <w:vAlign w:val="bottom"/>
            <w:vMerge w:val="restart"/>
            <w:shd w:val="clear" w:color="auto" w:fill="DBDBDB"/>
          </w:tcPr>
          <w:p>
            <w:pPr>
              <w:jc w:val="right"/>
              <w:ind w:right="652"/>
              <w:spacing w:after="0"/>
              <w:rPr>
                <w:sz w:val="20"/>
                <w:szCs w:val="20"/>
                <w:color w:val="auto"/>
              </w:rPr>
            </w:pPr>
            <w:r>
              <w:rPr>
                <w:rFonts w:ascii="Arial" w:cs="Arial" w:eastAsia="Arial" w:hAnsi="Arial"/>
                <w:sz w:val="10"/>
                <w:szCs w:val="10"/>
                <w:color w:val="auto"/>
              </w:rPr>
              <w:t>54.109</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(1)</w:t>
            </w:r>
          </w:p>
        </w:tc>
        <w:tc>
          <w:tcPr>
            <w:tcW w:w="13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70"/>
        </w:trPr>
        <w:tc>
          <w:tcPr>
            <w:tcW w:w="2640" w:type="dxa"/>
            <w:vAlign w:val="bottom"/>
            <w:gridSpan w:val="2"/>
            <w:vMerge w:val="continue"/>
            <w:shd w:val="clear" w:color="auto" w:fill="DBDBDB"/>
          </w:tcPr>
          <w:p>
            <w:pPr>
              <w:spacing w:after="0"/>
              <w:rPr>
                <w:sz w:val="6"/>
                <w:szCs w:val="6"/>
                <w:color w:val="auto"/>
              </w:rPr>
            </w:pPr>
          </w:p>
        </w:tc>
        <w:tc>
          <w:tcPr>
            <w:tcW w:w="9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0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460" w:type="dxa"/>
            <w:vAlign w:val="bottom"/>
            <w:vMerge w:val="continue"/>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1520" w:type="dxa"/>
            <w:vAlign w:val="bottom"/>
            <w:vMerge w:val="continue"/>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3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08" w:hanging="308"/>
        <w:spacing w:after="0"/>
        <w:tabs>
          <w:tab w:leader="none" w:pos="308" w:val="left"/>
        </w:tabs>
        <w:numPr>
          <w:ilvl w:val="0"/>
          <w:numId w:val="38"/>
        </w:numPr>
        <w:rPr>
          <w:rFonts w:ascii="Arial" w:cs="Arial" w:eastAsia="Arial" w:hAnsi="Arial"/>
          <w:sz w:val="12"/>
          <w:szCs w:val="12"/>
          <w:color w:val="auto"/>
        </w:rPr>
      </w:pPr>
      <w:r>
        <w:rPr>
          <w:rFonts w:ascii="Arial" w:cs="Arial" w:eastAsia="Arial" w:hAnsi="Arial"/>
          <w:sz w:val="12"/>
          <w:szCs w:val="12"/>
          <w:color w:val="auto"/>
        </w:rPr>
        <w:t xml:space="preserve">Consolidated and Segment Adjusted EBITDA are non-GAAP measures which are further defined on page </w:t>
      </w:r>
      <w:r>
        <w:rPr>
          <w:rFonts w:ascii="Arial" w:cs="Arial" w:eastAsia="Arial" w:hAnsi="Arial"/>
          <w:sz w:val="12"/>
          <w:szCs w:val="12"/>
          <w:u w:val="single" w:color="auto"/>
          <w:color w:val="0000FF"/>
        </w:rPr>
        <w:t>36</w:t>
      </w:r>
      <w:r>
        <w:rPr>
          <w:rFonts w:ascii="Arial" w:cs="Arial" w:eastAsia="Arial" w:hAnsi="Arial"/>
          <w:sz w:val="12"/>
          <w:szCs w:val="12"/>
          <w:color w:val="auto"/>
        </w:rPr>
        <w:t>, and reconciled to GAAP net earnings in Appendix A to this Proxy Statement.</w:t>
      </w:r>
    </w:p>
    <w:p>
      <w:pPr>
        <w:spacing w:after="0" w:line="78"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The following table outlines the performance metrics, weighting and performance levels and actual performance achievement for the fiscal 2026 performance cycle for Ms. Lakkundi, whose short-term cash incentive is based on a combination of consolidated performance goals and performance goals for the Performance Surfaces Segment.</w:t>
      </w:r>
    </w:p>
    <w:p>
      <w:pPr>
        <w:spacing w:after="0" w:line="139" w:lineRule="exact"/>
        <w:rPr>
          <w:sz w:val="20"/>
          <w:szCs w:val="20"/>
          <w:color w:val="auto"/>
        </w:rPr>
      </w:pPr>
    </w:p>
    <w:p>
      <w:pPr>
        <w:jc w:val="center"/>
        <w:ind w:right="72"/>
        <w:spacing w:after="0"/>
        <w:rPr>
          <w:sz w:val="20"/>
          <w:szCs w:val="20"/>
          <w:color w:val="auto"/>
        </w:rPr>
      </w:pPr>
      <w:r>
        <w:rPr>
          <w:rFonts w:ascii="Arial" w:cs="Arial" w:eastAsia="Arial" w:hAnsi="Arial"/>
          <w:sz w:val="12"/>
          <w:szCs w:val="12"/>
          <w:b w:val="1"/>
          <w:bCs w:val="1"/>
          <w:color w:val="auto"/>
        </w:rPr>
        <w:t>Fiscal 2026 Short-Term Cash Incentive Performance Levels and</w:t>
      </w:r>
    </w:p>
    <w:p>
      <w:pPr>
        <w:spacing w:after="0" w:line="18" w:lineRule="exact"/>
        <w:rPr>
          <w:sz w:val="20"/>
          <w:szCs w:val="20"/>
          <w:color w:val="auto"/>
        </w:rPr>
      </w:pPr>
    </w:p>
    <w:p>
      <w:pPr>
        <w:jc w:val="center"/>
        <w:ind w:right="72"/>
        <w:spacing w:after="0"/>
        <w:rPr>
          <w:sz w:val="20"/>
          <w:szCs w:val="20"/>
          <w:color w:val="auto"/>
        </w:rPr>
      </w:pPr>
      <w:r>
        <w:rPr>
          <w:rFonts w:ascii="Arial" w:cs="Arial" w:eastAsia="Arial" w:hAnsi="Arial"/>
          <w:sz w:val="12"/>
          <w:szCs w:val="12"/>
          <w:b w:val="1"/>
          <w:bCs w:val="1"/>
          <w:color w:val="auto"/>
        </w:rPr>
        <w:t>Actual Performance – Ms. Lakkundi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232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6"/>
              </w:rPr>
              <w:t>Percentage</w:t>
            </w:r>
          </w:p>
        </w:tc>
        <w:tc>
          <w:tcPr>
            <w:tcW w:w="0" w:type="dxa"/>
            <w:vAlign w:val="bottom"/>
          </w:tcPr>
          <w:p>
            <w:pPr>
              <w:spacing w:after="0"/>
              <w:rPr>
                <w:sz w:val="1"/>
                <w:szCs w:val="1"/>
                <w:color w:val="auto"/>
              </w:rPr>
            </w:pPr>
          </w:p>
        </w:tc>
      </w:tr>
      <w:tr>
        <w:trPr>
          <w:trHeight w:val="117"/>
        </w:trPr>
        <w:tc>
          <w:tcPr>
            <w:tcW w:w="2680" w:type="dxa"/>
            <w:vAlign w:val="bottom"/>
            <w:gridSpan w:val="2"/>
            <w:vMerge w:val="restart"/>
          </w:tcPr>
          <w:p>
            <w:pPr>
              <w:spacing w:after="0"/>
              <w:rPr>
                <w:sz w:val="20"/>
                <w:szCs w:val="20"/>
                <w:color w:val="auto"/>
              </w:rPr>
            </w:pPr>
            <w:r>
              <w:rPr>
                <w:rFonts w:ascii="Arial" w:cs="Arial" w:eastAsia="Arial" w:hAnsi="Arial"/>
                <w:sz w:val="10"/>
                <w:szCs w:val="10"/>
                <w:b w:val="1"/>
                <w:bCs w:val="1"/>
                <w:color w:val="05445E"/>
              </w:rPr>
              <w:t>Performance</w:t>
            </w:r>
          </w:p>
        </w:tc>
        <w:tc>
          <w:tcPr>
            <w:tcW w:w="112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05445E"/>
              </w:rPr>
              <w:t>Weighting</w:t>
            </w:r>
          </w:p>
        </w:tc>
        <w:tc>
          <w:tcPr>
            <w:tcW w:w="152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05445E"/>
              </w:rPr>
              <w:t>Threshold</w:t>
            </w:r>
          </w:p>
        </w:tc>
        <w:tc>
          <w:tcPr>
            <w:tcW w:w="1500" w:type="dxa"/>
            <w:vAlign w:val="bottom"/>
            <w:gridSpan w:val="2"/>
            <w:vMerge w:val="restart"/>
          </w:tcPr>
          <w:p>
            <w:pPr>
              <w:ind w:left="580"/>
              <w:spacing w:after="0"/>
              <w:rPr>
                <w:sz w:val="20"/>
                <w:szCs w:val="20"/>
                <w:color w:val="auto"/>
              </w:rPr>
            </w:pPr>
            <w:r>
              <w:rPr>
                <w:rFonts w:ascii="Arial" w:cs="Arial" w:eastAsia="Arial" w:hAnsi="Arial"/>
                <w:sz w:val="10"/>
                <w:szCs w:val="10"/>
                <w:b w:val="1"/>
                <w:bCs w:val="1"/>
                <w:color w:val="05445E"/>
              </w:rPr>
              <w:t>Target</w:t>
            </w:r>
          </w:p>
        </w:tc>
        <w:tc>
          <w:tcPr>
            <w:tcW w:w="1420" w:type="dxa"/>
            <w:vAlign w:val="bottom"/>
            <w:gridSpan w:val="2"/>
            <w:vMerge w:val="restart"/>
          </w:tcPr>
          <w:p>
            <w:pPr>
              <w:ind w:left="460"/>
              <w:spacing w:after="0"/>
              <w:rPr>
                <w:sz w:val="20"/>
                <w:szCs w:val="20"/>
                <w:color w:val="auto"/>
              </w:rPr>
            </w:pPr>
            <w:r>
              <w:rPr>
                <w:rFonts w:ascii="Arial" w:cs="Arial" w:eastAsia="Arial" w:hAnsi="Arial"/>
                <w:sz w:val="10"/>
                <w:szCs w:val="10"/>
                <w:b w:val="1"/>
                <w:bCs w:val="1"/>
                <w:color w:val="05445E"/>
              </w:rPr>
              <w:t>Maximum</w:t>
            </w: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8"/>
              </w:rPr>
              <w:t>Actual</w:t>
            </w:r>
          </w:p>
        </w:tc>
        <w:tc>
          <w:tcPr>
            <w:tcW w:w="30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4"/>
              </w:rPr>
              <w:t>Performance</w:t>
            </w:r>
          </w:p>
        </w:tc>
        <w:tc>
          <w:tcPr>
            <w:tcW w:w="0" w:type="dxa"/>
            <w:vAlign w:val="bottom"/>
          </w:tcPr>
          <w:p>
            <w:pPr>
              <w:spacing w:after="0"/>
              <w:rPr>
                <w:sz w:val="1"/>
                <w:szCs w:val="1"/>
                <w:color w:val="auto"/>
              </w:rPr>
            </w:pPr>
          </w:p>
        </w:tc>
      </w:tr>
      <w:tr>
        <w:trPr>
          <w:trHeight w:val="108"/>
        </w:trPr>
        <w:tc>
          <w:tcPr>
            <w:tcW w:w="26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3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Performance</w:t>
            </w:r>
          </w:p>
        </w:tc>
        <w:tc>
          <w:tcPr>
            <w:tcW w:w="300" w:type="dxa"/>
            <w:vAlign w:val="bottom"/>
          </w:tcPr>
          <w:p>
            <w:pPr>
              <w:spacing w:after="0"/>
              <w:rPr>
                <w:sz w:val="9"/>
                <w:szCs w:val="9"/>
                <w:color w:val="auto"/>
              </w:rPr>
            </w:pPr>
          </w:p>
        </w:tc>
        <w:tc>
          <w:tcPr>
            <w:tcW w:w="13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Achieved</w:t>
            </w: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Goal</w:t>
            </w:r>
          </w:p>
        </w:tc>
        <w:tc>
          <w:tcPr>
            <w:tcW w:w="80" w:type="dxa"/>
            <w:vAlign w:val="bottom"/>
            <w:tcBorders>
              <w:bottom w:val="single" w:sz="8" w:color="DBDBDB"/>
            </w:tcBorders>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rPr>
              <w:t>(%)</w:t>
            </w:r>
          </w:p>
        </w:tc>
        <w:tc>
          <w:tcPr>
            <w:tcW w:w="80" w:type="dxa"/>
            <w:vAlign w:val="bottom"/>
            <w:tcBorders>
              <w:bottom w:val="single" w:sz="8" w:color="DBDBDB"/>
            </w:tcBorders>
          </w:tcPr>
          <w:p>
            <w:pPr>
              <w:spacing w:after="0"/>
              <w:rPr>
                <w:sz w:val="12"/>
                <w:szCs w:val="12"/>
                <w:color w:val="auto"/>
              </w:rPr>
            </w:pP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05445E"/>
              </w:rPr>
              <w:t>($ in millions)</w:t>
            </w:r>
          </w:p>
        </w:tc>
        <w:tc>
          <w:tcPr>
            <w:tcW w:w="60" w:type="dxa"/>
            <w:vAlign w:val="bottom"/>
            <w:tcBorders>
              <w:bottom w:val="single" w:sz="8" w:color="DBDBDB"/>
            </w:tcBorders>
          </w:tcPr>
          <w:p>
            <w:pPr>
              <w:spacing w:after="0"/>
              <w:rPr>
                <w:sz w:val="12"/>
                <w:szCs w:val="12"/>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05445E"/>
              </w:rPr>
              <w:t>($ in millions)</w:t>
            </w:r>
          </w:p>
        </w:tc>
        <w:tc>
          <w:tcPr>
            <w:tcW w:w="60" w:type="dxa"/>
            <w:vAlign w:val="bottom"/>
            <w:tcBorders>
              <w:bottom w:val="single" w:sz="8" w:color="DBDBDB"/>
            </w:tcBorders>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6"/>
              </w:rPr>
              <w:t>($ in millions)</w:t>
            </w:r>
          </w:p>
        </w:tc>
        <w:tc>
          <w:tcPr>
            <w:tcW w:w="300" w:type="dxa"/>
            <w:vAlign w:val="bottom"/>
            <w:tcBorders>
              <w:bottom w:val="single" w:sz="8" w:color="DBDBDB"/>
            </w:tcBorders>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0" w:type="dxa"/>
            <w:vAlign w:val="bottom"/>
          </w:tcPr>
          <w:p>
            <w:pPr>
              <w:spacing w:after="0"/>
              <w:rPr>
                <w:sz w:val="1"/>
                <w:szCs w:val="1"/>
                <w:color w:val="auto"/>
              </w:rPr>
            </w:pPr>
          </w:p>
        </w:tc>
      </w:tr>
      <w:tr>
        <w:trPr>
          <w:trHeight w:val="143"/>
        </w:trPr>
        <w:tc>
          <w:tcPr>
            <w:tcW w:w="268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Consolidated Adjusted EBITDA</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25</w:t>
            </w:r>
          </w:p>
        </w:tc>
        <w:tc>
          <w:tcPr>
            <w:tcW w:w="80" w:type="dxa"/>
            <w:vAlign w:val="bottom"/>
            <w:shd w:val="clear" w:color="auto" w:fill="DBDBDB"/>
          </w:tcPr>
          <w:p>
            <w:pPr>
              <w:spacing w:after="0"/>
              <w:rPr>
                <w:sz w:val="12"/>
                <w:szCs w:val="12"/>
                <w:color w:val="auto"/>
              </w:rPr>
            </w:pPr>
          </w:p>
        </w:tc>
        <w:tc>
          <w:tcPr>
            <w:tcW w:w="146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173.000</w:t>
            </w:r>
          </w:p>
        </w:tc>
        <w:tc>
          <w:tcPr>
            <w:tcW w:w="6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203.500</w:t>
            </w:r>
          </w:p>
        </w:tc>
        <w:tc>
          <w:tcPr>
            <w:tcW w:w="80" w:type="dxa"/>
            <w:vAlign w:val="bottom"/>
            <w:shd w:val="clear" w:color="auto" w:fill="DBDBDB"/>
          </w:tcPr>
          <w:p>
            <w:pPr>
              <w:spacing w:after="0"/>
              <w:rPr>
                <w:sz w:val="12"/>
                <w:szCs w:val="12"/>
                <w:color w:val="auto"/>
              </w:rPr>
            </w:pPr>
          </w:p>
        </w:tc>
        <w:tc>
          <w:tcPr>
            <w:tcW w:w="136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234.000</w:t>
            </w:r>
          </w:p>
        </w:tc>
        <w:tc>
          <w:tcPr>
            <w:tcW w:w="60" w:type="dxa"/>
            <w:vAlign w:val="bottom"/>
            <w:shd w:val="clear" w:color="auto" w:fill="DBDBDB"/>
          </w:tcPr>
          <w:p>
            <w:pPr>
              <w:spacing w:after="0"/>
              <w:rPr>
                <w:sz w:val="12"/>
                <w:szCs w:val="12"/>
                <w:color w:val="auto"/>
              </w:rPr>
            </w:pPr>
          </w:p>
        </w:tc>
        <w:tc>
          <w:tcPr>
            <w:tcW w:w="134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167.303</w:t>
            </w:r>
          </w:p>
        </w:tc>
        <w:tc>
          <w:tcPr>
            <w:tcW w:w="30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rPr>
              <w:t>(1)</w:t>
            </w:r>
          </w:p>
        </w:tc>
        <w:tc>
          <w:tcPr>
            <w:tcW w:w="1340" w:type="dxa"/>
            <w:vAlign w:val="bottom"/>
            <w:shd w:val="clear" w:color="auto" w:fill="DBDBDB"/>
          </w:tcPr>
          <w:p>
            <w:pPr>
              <w:jc w:val="center"/>
              <w:spacing w:after="0"/>
              <w:rPr>
                <w:sz w:val="20"/>
                <w:szCs w:val="20"/>
                <w:color w:val="auto"/>
              </w:rPr>
            </w:pPr>
            <w:r>
              <w:rPr>
                <w:rFonts w:ascii="Arial" w:cs="Arial" w:eastAsia="Arial" w:hAnsi="Arial"/>
                <w:sz w:val="10"/>
                <w:szCs w:val="10"/>
                <w:b w:val="1"/>
                <w:bCs w:val="1"/>
                <w:color w:val="05445E"/>
                <w:w w:val="99"/>
              </w:rPr>
              <w:t>—</w:t>
            </w:r>
          </w:p>
        </w:tc>
        <w:tc>
          <w:tcPr>
            <w:tcW w:w="0" w:type="dxa"/>
            <w:vAlign w:val="bottom"/>
          </w:tcPr>
          <w:p>
            <w:pPr>
              <w:spacing w:after="0"/>
              <w:rPr>
                <w:sz w:val="1"/>
                <w:szCs w:val="1"/>
                <w:color w:val="auto"/>
              </w:rPr>
            </w:pPr>
          </w:p>
        </w:tc>
      </w:tr>
      <w:tr>
        <w:trPr>
          <w:trHeight w:val="146"/>
        </w:trPr>
        <w:tc>
          <w:tcPr>
            <w:tcW w:w="2680" w:type="dxa"/>
            <w:vAlign w:val="bottom"/>
            <w:gridSpan w:val="2"/>
          </w:tcPr>
          <w:p>
            <w:pPr>
              <w:spacing w:after="0"/>
              <w:rPr>
                <w:sz w:val="20"/>
                <w:szCs w:val="20"/>
                <w:color w:val="auto"/>
              </w:rPr>
            </w:pPr>
            <w:r>
              <w:rPr>
                <w:rFonts w:ascii="Arial" w:cs="Arial" w:eastAsia="Arial" w:hAnsi="Arial"/>
                <w:sz w:val="10"/>
                <w:szCs w:val="10"/>
                <w:color w:val="auto"/>
              </w:rPr>
              <w:t>Performance Surfaces Segment Net Sales</w:t>
            </w:r>
          </w:p>
        </w:tc>
        <w:tc>
          <w:tcPr>
            <w:tcW w:w="1040" w:type="dxa"/>
            <w:vAlign w:val="bottom"/>
          </w:tcPr>
          <w:p>
            <w:pPr>
              <w:jc w:val="center"/>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2"/>
                <w:szCs w:val="12"/>
                <w:color w:val="auto"/>
              </w:rPr>
            </w:pPr>
          </w:p>
        </w:tc>
        <w:tc>
          <w:tcPr>
            <w:tcW w:w="1460" w:type="dxa"/>
            <w:vAlign w:val="bottom"/>
          </w:tcPr>
          <w:p>
            <w:pPr>
              <w:jc w:val="right"/>
              <w:ind w:right="112"/>
              <w:spacing w:after="0"/>
              <w:rPr>
                <w:sz w:val="20"/>
                <w:szCs w:val="20"/>
                <w:color w:val="auto"/>
              </w:rPr>
            </w:pPr>
            <w:r>
              <w:rPr>
                <w:rFonts w:ascii="Arial" w:cs="Arial" w:eastAsia="Arial" w:hAnsi="Arial"/>
                <w:sz w:val="10"/>
                <w:szCs w:val="10"/>
                <w:color w:val="auto"/>
              </w:rPr>
              <w:t>187.300</w:t>
            </w:r>
          </w:p>
        </w:tc>
        <w:tc>
          <w:tcPr>
            <w:tcW w:w="60" w:type="dxa"/>
            <w:vAlign w:val="bottom"/>
          </w:tcPr>
          <w:p>
            <w:pPr>
              <w:spacing w:after="0"/>
              <w:rPr>
                <w:sz w:val="12"/>
                <w:szCs w:val="12"/>
                <w:color w:val="auto"/>
              </w:rPr>
            </w:pPr>
          </w:p>
        </w:tc>
        <w:tc>
          <w:tcPr>
            <w:tcW w:w="1420" w:type="dxa"/>
            <w:vAlign w:val="bottom"/>
          </w:tcPr>
          <w:p>
            <w:pPr>
              <w:jc w:val="right"/>
              <w:ind w:right="112"/>
              <w:spacing w:after="0"/>
              <w:rPr>
                <w:sz w:val="20"/>
                <w:szCs w:val="20"/>
                <w:color w:val="auto"/>
              </w:rPr>
            </w:pPr>
            <w:r>
              <w:rPr>
                <w:rFonts w:ascii="Arial" w:cs="Arial" w:eastAsia="Arial" w:hAnsi="Arial"/>
                <w:sz w:val="10"/>
                <w:szCs w:val="10"/>
                <w:color w:val="auto"/>
              </w:rPr>
              <w:t>208.100</w:t>
            </w:r>
          </w:p>
        </w:tc>
        <w:tc>
          <w:tcPr>
            <w:tcW w:w="80" w:type="dxa"/>
            <w:vAlign w:val="bottom"/>
          </w:tcPr>
          <w:p>
            <w:pPr>
              <w:spacing w:after="0"/>
              <w:rPr>
                <w:sz w:val="12"/>
                <w:szCs w:val="12"/>
                <w:color w:val="auto"/>
              </w:rPr>
            </w:pPr>
          </w:p>
        </w:tc>
        <w:tc>
          <w:tcPr>
            <w:tcW w:w="1360" w:type="dxa"/>
            <w:vAlign w:val="bottom"/>
          </w:tcPr>
          <w:p>
            <w:pPr>
              <w:jc w:val="right"/>
              <w:ind w:right="112"/>
              <w:spacing w:after="0"/>
              <w:rPr>
                <w:sz w:val="20"/>
                <w:szCs w:val="20"/>
                <w:color w:val="auto"/>
              </w:rPr>
            </w:pPr>
            <w:r>
              <w:rPr>
                <w:rFonts w:ascii="Arial" w:cs="Arial" w:eastAsia="Arial" w:hAnsi="Arial"/>
                <w:sz w:val="10"/>
                <w:szCs w:val="10"/>
                <w:color w:val="auto"/>
              </w:rPr>
              <w:t>228.900</w:t>
            </w:r>
          </w:p>
        </w:tc>
        <w:tc>
          <w:tcPr>
            <w:tcW w:w="60" w:type="dxa"/>
            <w:vAlign w:val="bottom"/>
          </w:tcPr>
          <w:p>
            <w:pPr>
              <w:spacing w:after="0"/>
              <w:rPr>
                <w:sz w:val="12"/>
                <w:szCs w:val="12"/>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197.966</w:t>
            </w:r>
          </w:p>
        </w:tc>
        <w:tc>
          <w:tcPr>
            <w:tcW w:w="3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95"/>
              </w:rPr>
              <w:t>75.64</w:t>
            </w:r>
          </w:p>
        </w:tc>
        <w:tc>
          <w:tcPr>
            <w:tcW w:w="0" w:type="dxa"/>
            <w:vAlign w:val="bottom"/>
          </w:tcPr>
          <w:p>
            <w:pPr>
              <w:spacing w:after="0"/>
              <w:rPr>
                <w:sz w:val="1"/>
                <w:szCs w:val="1"/>
                <w:color w:val="auto"/>
              </w:rPr>
            </w:pPr>
          </w:p>
        </w:tc>
      </w:tr>
      <w:tr>
        <w:trPr>
          <w:trHeight w:val="160"/>
        </w:trPr>
        <w:tc>
          <w:tcPr>
            <w:tcW w:w="268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Performance Surfaces Segment Adjusted EBITDA</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50</w:t>
            </w:r>
          </w:p>
        </w:tc>
        <w:tc>
          <w:tcPr>
            <w:tcW w:w="80" w:type="dxa"/>
            <w:vAlign w:val="bottom"/>
            <w:shd w:val="clear" w:color="auto" w:fill="DBDBDB"/>
          </w:tcPr>
          <w:p>
            <w:pPr>
              <w:spacing w:after="0"/>
              <w:rPr>
                <w:sz w:val="13"/>
                <w:szCs w:val="13"/>
                <w:color w:val="auto"/>
              </w:rPr>
            </w:pPr>
          </w:p>
        </w:tc>
        <w:tc>
          <w:tcPr>
            <w:tcW w:w="146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37.800</w:t>
            </w:r>
          </w:p>
        </w:tc>
        <w:tc>
          <w:tcPr>
            <w:tcW w:w="60" w:type="dxa"/>
            <w:vAlign w:val="bottom"/>
            <w:shd w:val="clear" w:color="auto" w:fill="DBDBDB"/>
          </w:tcPr>
          <w:p>
            <w:pPr>
              <w:spacing w:after="0"/>
              <w:rPr>
                <w:sz w:val="13"/>
                <w:szCs w:val="13"/>
                <w:color w:val="auto"/>
              </w:rPr>
            </w:pPr>
          </w:p>
        </w:tc>
        <w:tc>
          <w:tcPr>
            <w:tcW w:w="14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44.500</w:t>
            </w:r>
          </w:p>
        </w:tc>
        <w:tc>
          <w:tcPr>
            <w:tcW w:w="80" w:type="dxa"/>
            <w:vAlign w:val="bottom"/>
            <w:shd w:val="clear" w:color="auto" w:fill="DBDBDB"/>
          </w:tcPr>
          <w:p>
            <w:pPr>
              <w:spacing w:after="0"/>
              <w:rPr>
                <w:sz w:val="13"/>
                <w:szCs w:val="13"/>
                <w:color w:val="auto"/>
              </w:rPr>
            </w:pPr>
          </w:p>
        </w:tc>
        <w:tc>
          <w:tcPr>
            <w:tcW w:w="136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51.200</w:t>
            </w:r>
          </w:p>
        </w:tc>
        <w:tc>
          <w:tcPr>
            <w:tcW w:w="60" w:type="dxa"/>
            <w:vAlign w:val="bottom"/>
            <w:shd w:val="clear" w:color="auto" w:fill="DBDBDB"/>
          </w:tcPr>
          <w:p>
            <w:pPr>
              <w:spacing w:after="0"/>
              <w:rPr>
                <w:sz w:val="13"/>
                <w:szCs w:val="13"/>
                <w:color w:val="auto"/>
              </w:rPr>
            </w:pPr>
          </w:p>
        </w:tc>
        <w:tc>
          <w:tcPr>
            <w:tcW w:w="134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41.643</w:t>
            </w:r>
          </w:p>
        </w:tc>
        <w:tc>
          <w:tcPr>
            <w:tcW w:w="30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rPr>
              <w:t>(1)</w:t>
            </w:r>
          </w:p>
        </w:tc>
        <w:tc>
          <w:tcPr>
            <w:tcW w:w="13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78.68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308" w:hanging="308"/>
        <w:spacing w:after="0"/>
        <w:tabs>
          <w:tab w:leader="none" w:pos="3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Consolidated and Segment Adjusted EBITDA are non-GAAP measures which are further defined on page </w:t>
      </w:r>
      <w:r>
        <w:rPr>
          <w:rFonts w:ascii="Arial" w:cs="Arial" w:eastAsia="Arial" w:hAnsi="Arial"/>
          <w:sz w:val="12"/>
          <w:szCs w:val="12"/>
          <w:u w:val="single" w:color="auto"/>
          <w:color w:val="0000FF"/>
        </w:rPr>
        <w:t>36</w:t>
      </w:r>
      <w:r>
        <w:rPr>
          <w:rFonts w:ascii="Arial" w:cs="Arial" w:eastAsia="Arial" w:hAnsi="Arial"/>
          <w:sz w:val="12"/>
          <w:szCs w:val="12"/>
          <w:color w:val="auto"/>
        </w:rPr>
        <w:t>, and reconciled to GAAP net earnings in Appendix A to this Proxy Statement.</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45" w:lineRule="exact"/>
        <w:rPr>
          <w:rFonts w:ascii="Arial" w:cs="Arial" w:eastAsia="Arial" w:hAnsi="Arial"/>
          <w:sz w:val="12"/>
          <w:szCs w:val="12"/>
          <w:color w:val="auto"/>
        </w:rPr>
      </w:pPr>
    </w:p>
    <w:p>
      <w:pPr>
        <w:ind w:left="5588"/>
        <w:spacing w:after="0"/>
        <w:rPr>
          <w:rFonts w:ascii="Arial" w:cs="Arial" w:eastAsia="Arial" w:hAnsi="Arial"/>
          <w:sz w:val="12"/>
          <w:szCs w:val="12"/>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48" w:name="page49"/>
    <w:bookmarkEnd w:id="48"/>
    <w:p>
      <w:pPr>
        <w:ind w:left="8"/>
        <w:spacing w:after="0" w:line="286" w:lineRule="auto"/>
        <w:rPr>
          <w:sz w:val="20"/>
          <w:szCs w:val="20"/>
          <w:color w:val="auto"/>
        </w:rPr>
      </w:pPr>
      <w:r>
        <w:rPr>
          <w:rFonts w:ascii="Arial" w:cs="Arial" w:eastAsia="Arial" w:hAnsi="Arial"/>
          <w:sz w:val="12"/>
          <w:szCs w:val="12"/>
          <w:color w:val="auto"/>
        </w:rPr>
        <w:t>The following table outlines the performance metrics, weighting and performance levels and actual performance achievement for the fiscal 2026 performance cycle for Mr. Jewell, whose short-term cash incentive is based on a combination of consolidated performance goals and performance goals for the Architectural Glass Segment.</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Fiscal 2026 Short-Term Cash Incentive Performance Levels and</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Actual Performance – Mr. Jewell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6"/>
              </w:rPr>
              <w:t>Percentage</w:t>
            </w:r>
          </w:p>
        </w:tc>
        <w:tc>
          <w:tcPr>
            <w:tcW w:w="0" w:type="dxa"/>
            <w:vAlign w:val="bottom"/>
          </w:tcPr>
          <w:p>
            <w:pPr>
              <w:spacing w:after="0"/>
              <w:rPr>
                <w:sz w:val="1"/>
                <w:szCs w:val="1"/>
                <w:color w:val="auto"/>
              </w:rPr>
            </w:pPr>
          </w:p>
        </w:tc>
      </w:tr>
      <w:tr>
        <w:trPr>
          <w:trHeight w:val="117"/>
        </w:trPr>
        <w:tc>
          <w:tcPr>
            <w:tcW w:w="2700" w:type="dxa"/>
            <w:vAlign w:val="bottom"/>
            <w:gridSpan w:val="2"/>
            <w:vMerge w:val="restart"/>
          </w:tcPr>
          <w:p>
            <w:pPr>
              <w:spacing w:after="0"/>
              <w:rPr>
                <w:sz w:val="20"/>
                <w:szCs w:val="20"/>
                <w:color w:val="auto"/>
              </w:rPr>
            </w:pPr>
            <w:r>
              <w:rPr>
                <w:rFonts w:ascii="Arial" w:cs="Arial" w:eastAsia="Arial" w:hAnsi="Arial"/>
                <w:sz w:val="10"/>
                <w:szCs w:val="10"/>
                <w:b w:val="1"/>
                <w:bCs w:val="1"/>
                <w:color w:val="05445E"/>
              </w:rPr>
              <w:t>Performance</w:t>
            </w:r>
          </w:p>
        </w:tc>
        <w:tc>
          <w:tcPr>
            <w:tcW w:w="106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05445E"/>
              </w:rPr>
              <w:t>Weighting</w:t>
            </w:r>
          </w:p>
        </w:tc>
        <w:tc>
          <w:tcPr>
            <w:tcW w:w="156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05445E"/>
              </w:rPr>
              <w:t>Threshold</w:t>
            </w:r>
          </w:p>
        </w:tc>
        <w:tc>
          <w:tcPr>
            <w:tcW w:w="1600" w:type="dxa"/>
            <w:vAlign w:val="bottom"/>
            <w:gridSpan w:val="2"/>
            <w:vMerge w:val="restart"/>
          </w:tcPr>
          <w:p>
            <w:pPr>
              <w:ind w:left="620"/>
              <w:spacing w:after="0"/>
              <w:rPr>
                <w:sz w:val="20"/>
                <w:szCs w:val="20"/>
                <w:color w:val="auto"/>
              </w:rPr>
            </w:pPr>
            <w:r>
              <w:rPr>
                <w:rFonts w:ascii="Arial" w:cs="Arial" w:eastAsia="Arial" w:hAnsi="Arial"/>
                <w:sz w:val="10"/>
                <w:szCs w:val="10"/>
                <w:b w:val="1"/>
                <w:bCs w:val="1"/>
                <w:color w:val="05445E"/>
              </w:rPr>
              <w:t>Target</w:t>
            </w:r>
          </w:p>
        </w:tc>
        <w:tc>
          <w:tcPr>
            <w:tcW w:w="1420" w:type="dxa"/>
            <w:vAlign w:val="bottom"/>
            <w:gridSpan w:val="2"/>
            <w:vMerge w:val="restart"/>
          </w:tcPr>
          <w:p>
            <w:pPr>
              <w:ind w:left="460"/>
              <w:spacing w:after="0"/>
              <w:rPr>
                <w:sz w:val="20"/>
                <w:szCs w:val="20"/>
                <w:color w:val="auto"/>
              </w:rPr>
            </w:pPr>
            <w:r>
              <w:rPr>
                <w:rFonts w:ascii="Arial" w:cs="Arial" w:eastAsia="Arial" w:hAnsi="Arial"/>
                <w:sz w:val="10"/>
                <w:szCs w:val="10"/>
                <w:b w:val="1"/>
                <w:bCs w:val="1"/>
                <w:color w:val="05445E"/>
              </w:rPr>
              <w:t>Maximum</w:t>
            </w: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8"/>
              </w:rPr>
              <w:t>Actual</w:t>
            </w:r>
          </w:p>
        </w:tc>
        <w:tc>
          <w:tcPr>
            <w:tcW w:w="2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05445E"/>
                <w:w w:val="94"/>
              </w:rPr>
              <w:t>Performance</w:t>
            </w:r>
          </w:p>
        </w:tc>
        <w:tc>
          <w:tcPr>
            <w:tcW w:w="0" w:type="dxa"/>
            <w:vAlign w:val="bottom"/>
          </w:tcPr>
          <w:p>
            <w:pPr>
              <w:spacing w:after="0"/>
              <w:rPr>
                <w:sz w:val="1"/>
                <w:szCs w:val="1"/>
                <w:color w:val="auto"/>
              </w:rPr>
            </w:pPr>
          </w:p>
        </w:tc>
      </w:tr>
      <w:tr>
        <w:trPr>
          <w:trHeight w:val="108"/>
        </w:trPr>
        <w:tc>
          <w:tcPr>
            <w:tcW w:w="270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3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Performance</w:t>
            </w:r>
          </w:p>
        </w:tc>
        <w:tc>
          <w:tcPr>
            <w:tcW w:w="280" w:type="dxa"/>
            <w:vAlign w:val="bottom"/>
          </w:tcPr>
          <w:p>
            <w:pPr>
              <w:spacing w:after="0"/>
              <w:rPr>
                <w:sz w:val="9"/>
                <w:szCs w:val="9"/>
                <w:color w:val="auto"/>
              </w:rPr>
            </w:pPr>
          </w:p>
        </w:tc>
        <w:tc>
          <w:tcPr>
            <w:tcW w:w="13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Achieved</w:t>
            </w:r>
          </w:p>
        </w:tc>
        <w:tc>
          <w:tcPr>
            <w:tcW w:w="0" w:type="dxa"/>
            <w:vAlign w:val="bottom"/>
          </w:tcPr>
          <w:p>
            <w:pPr>
              <w:spacing w:after="0"/>
              <w:rPr>
                <w:sz w:val="1"/>
                <w:szCs w:val="1"/>
                <w:color w:val="auto"/>
              </w:rPr>
            </w:pPr>
          </w:p>
        </w:tc>
      </w:tr>
      <w:tr>
        <w:trPr>
          <w:trHeight w:val="141"/>
        </w:trPr>
        <w:tc>
          <w:tcPr>
            <w:tcW w:w="2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Goal</w:t>
            </w:r>
          </w:p>
        </w:tc>
        <w:tc>
          <w:tcPr>
            <w:tcW w:w="80" w:type="dxa"/>
            <w:vAlign w:val="bottom"/>
            <w:tcBorders>
              <w:bottom w:val="single" w:sz="8" w:color="D9D9D9"/>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80" w:type="dxa"/>
            <w:vAlign w:val="bottom"/>
            <w:tcBorders>
              <w:bottom w:val="single" w:sz="8" w:color="D9D9D9"/>
            </w:tcBorders>
          </w:tcPr>
          <w:p>
            <w:pPr>
              <w:spacing w:after="0"/>
              <w:rPr>
                <w:sz w:val="12"/>
                <w:szCs w:val="12"/>
                <w:color w:val="auto"/>
              </w:rPr>
            </w:pP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9D9D9"/>
            </w:tcBorders>
          </w:tcPr>
          <w:p>
            <w:pPr>
              <w:spacing w:after="0"/>
              <w:rPr>
                <w:sz w:val="12"/>
                <w:szCs w:val="12"/>
                <w:color w:val="auto"/>
              </w:rPr>
            </w:pPr>
          </w:p>
        </w:tc>
        <w:tc>
          <w:tcPr>
            <w:tcW w:w="1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9D9D9"/>
            </w:tcBorders>
          </w:tcPr>
          <w:p>
            <w:pPr>
              <w:spacing w:after="0"/>
              <w:rPr>
                <w:sz w:val="12"/>
                <w:szCs w:val="12"/>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05445E"/>
              </w:rPr>
              <w:t>($ in millions)</w:t>
            </w:r>
          </w:p>
        </w:tc>
        <w:tc>
          <w:tcPr>
            <w:tcW w:w="80" w:type="dxa"/>
            <w:vAlign w:val="bottom"/>
            <w:tcBorders>
              <w:bottom w:val="single" w:sz="8" w:color="D9D9D9"/>
            </w:tcBorders>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6"/>
              </w:rPr>
              <w:t>($ in millions)</w:t>
            </w:r>
          </w:p>
        </w:tc>
        <w:tc>
          <w:tcPr>
            <w:tcW w:w="280" w:type="dxa"/>
            <w:vAlign w:val="bottom"/>
            <w:tcBorders>
              <w:bottom w:val="single" w:sz="8" w:color="D9D9D9"/>
            </w:tcBorders>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0" w:type="dxa"/>
            <w:vAlign w:val="bottom"/>
          </w:tcPr>
          <w:p>
            <w:pPr>
              <w:spacing w:after="0"/>
              <w:rPr>
                <w:sz w:val="1"/>
                <w:szCs w:val="1"/>
                <w:color w:val="auto"/>
              </w:rPr>
            </w:pPr>
          </w:p>
        </w:tc>
      </w:tr>
      <w:tr>
        <w:trPr>
          <w:trHeight w:val="143"/>
        </w:trPr>
        <w:tc>
          <w:tcPr>
            <w:tcW w:w="2700" w:type="dxa"/>
            <w:vAlign w:val="bottom"/>
            <w:gridSpan w:val="2"/>
            <w:shd w:val="clear" w:color="auto" w:fill="D9D9D9"/>
          </w:tcPr>
          <w:p>
            <w:pPr>
              <w:spacing w:after="0"/>
              <w:rPr>
                <w:sz w:val="20"/>
                <w:szCs w:val="20"/>
                <w:color w:val="auto"/>
              </w:rPr>
            </w:pPr>
            <w:r>
              <w:rPr>
                <w:rFonts w:ascii="Arial" w:cs="Arial" w:eastAsia="Arial" w:hAnsi="Arial"/>
                <w:sz w:val="10"/>
                <w:szCs w:val="10"/>
                <w:color w:val="auto"/>
              </w:rPr>
              <w:t>Consolidated Adjusted EBITDA</w:t>
            </w:r>
          </w:p>
        </w:tc>
        <w:tc>
          <w:tcPr>
            <w:tcW w:w="9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89"/>
              </w:rPr>
              <w:t>25</w:t>
            </w:r>
          </w:p>
        </w:tc>
        <w:tc>
          <w:tcPr>
            <w:tcW w:w="80" w:type="dxa"/>
            <w:vAlign w:val="bottom"/>
            <w:shd w:val="clear" w:color="auto" w:fill="D9D9D9"/>
          </w:tcPr>
          <w:p>
            <w:pPr>
              <w:spacing w:after="0"/>
              <w:rPr>
                <w:sz w:val="12"/>
                <w:szCs w:val="12"/>
                <w:color w:val="auto"/>
              </w:rPr>
            </w:pPr>
          </w:p>
        </w:tc>
        <w:tc>
          <w:tcPr>
            <w:tcW w:w="14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173.000</w:t>
            </w:r>
          </w:p>
        </w:tc>
        <w:tc>
          <w:tcPr>
            <w:tcW w:w="80" w:type="dxa"/>
            <w:vAlign w:val="bottom"/>
            <w:shd w:val="clear" w:color="auto" w:fill="D9D9D9"/>
          </w:tcPr>
          <w:p>
            <w:pPr>
              <w:spacing w:after="0"/>
              <w:rPr>
                <w:sz w:val="12"/>
                <w:szCs w:val="12"/>
                <w:color w:val="auto"/>
              </w:rPr>
            </w:pPr>
          </w:p>
        </w:tc>
        <w:tc>
          <w:tcPr>
            <w:tcW w:w="1520" w:type="dxa"/>
            <w:vAlign w:val="bottom"/>
            <w:shd w:val="clear" w:color="auto" w:fill="D9D9D9"/>
          </w:tcPr>
          <w:p>
            <w:pPr>
              <w:jc w:val="right"/>
              <w:ind w:right="232"/>
              <w:spacing w:after="0"/>
              <w:rPr>
                <w:sz w:val="20"/>
                <w:szCs w:val="20"/>
                <w:color w:val="auto"/>
              </w:rPr>
            </w:pPr>
            <w:r>
              <w:rPr>
                <w:rFonts w:ascii="Arial" w:cs="Arial" w:eastAsia="Arial" w:hAnsi="Arial"/>
                <w:sz w:val="10"/>
                <w:szCs w:val="10"/>
                <w:color w:val="auto"/>
              </w:rPr>
              <w:t>203.500</w:t>
            </w:r>
          </w:p>
        </w:tc>
        <w:tc>
          <w:tcPr>
            <w:tcW w:w="80" w:type="dxa"/>
            <w:vAlign w:val="bottom"/>
            <w:shd w:val="clear" w:color="auto" w:fill="D9D9D9"/>
          </w:tcPr>
          <w:p>
            <w:pPr>
              <w:spacing w:after="0"/>
              <w:rPr>
                <w:sz w:val="12"/>
                <w:szCs w:val="12"/>
                <w:color w:val="auto"/>
              </w:rPr>
            </w:pPr>
          </w:p>
        </w:tc>
        <w:tc>
          <w:tcPr>
            <w:tcW w:w="1340" w:type="dxa"/>
            <w:vAlign w:val="bottom"/>
            <w:shd w:val="clear" w:color="auto" w:fill="D9D9D9"/>
          </w:tcPr>
          <w:p>
            <w:pPr>
              <w:jc w:val="right"/>
              <w:ind w:right="112"/>
              <w:spacing w:after="0"/>
              <w:rPr>
                <w:sz w:val="20"/>
                <w:szCs w:val="20"/>
                <w:color w:val="auto"/>
              </w:rPr>
            </w:pPr>
            <w:r>
              <w:rPr>
                <w:rFonts w:ascii="Arial" w:cs="Arial" w:eastAsia="Arial" w:hAnsi="Arial"/>
                <w:sz w:val="10"/>
                <w:szCs w:val="10"/>
                <w:color w:val="auto"/>
              </w:rPr>
              <w:t>234.000</w:t>
            </w:r>
          </w:p>
        </w:tc>
        <w:tc>
          <w:tcPr>
            <w:tcW w:w="80" w:type="dxa"/>
            <w:vAlign w:val="bottom"/>
            <w:shd w:val="clear" w:color="auto" w:fill="D9D9D9"/>
          </w:tcPr>
          <w:p>
            <w:pPr>
              <w:spacing w:after="0"/>
              <w:rPr>
                <w:sz w:val="12"/>
                <w:szCs w:val="12"/>
                <w:color w:val="auto"/>
              </w:rPr>
            </w:pPr>
          </w:p>
        </w:tc>
        <w:tc>
          <w:tcPr>
            <w:tcW w:w="1340" w:type="dxa"/>
            <w:vAlign w:val="bottom"/>
            <w:shd w:val="clear" w:color="auto" w:fill="D9D9D9"/>
          </w:tcPr>
          <w:p>
            <w:pPr>
              <w:jc w:val="right"/>
              <w:ind w:right="112"/>
              <w:spacing w:after="0"/>
              <w:rPr>
                <w:sz w:val="20"/>
                <w:szCs w:val="20"/>
                <w:color w:val="auto"/>
              </w:rPr>
            </w:pPr>
            <w:r>
              <w:rPr>
                <w:rFonts w:ascii="Arial" w:cs="Arial" w:eastAsia="Arial" w:hAnsi="Arial"/>
                <w:sz w:val="10"/>
                <w:szCs w:val="10"/>
                <w:color w:val="auto"/>
              </w:rPr>
              <w:t>167.303</w:t>
            </w:r>
          </w:p>
        </w:tc>
        <w:tc>
          <w:tcPr>
            <w:tcW w:w="280" w:type="dxa"/>
            <w:vAlign w:val="bottom"/>
            <w:shd w:val="clear" w:color="auto" w:fill="D9D9D9"/>
          </w:tcPr>
          <w:p>
            <w:pPr>
              <w:jc w:val="right"/>
              <w:ind w:right="69"/>
              <w:spacing w:after="0"/>
              <w:rPr>
                <w:sz w:val="20"/>
                <w:szCs w:val="20"/>
                <w:color w:val="auto"/>
              </w:rPr>
            </w:pPr>
            <w:r>
              <w:rPr>
                <w:rFonts w:ascii="Arial" w:cs="Arial" w:eastAsia="Arial" w:hAnsi="Arial"/>
                <w:sz w:val="6"/>
                <w:szCs w:val="6"/>
                <w:color w:val="auto"/>
              </w:rPr>
              <w:t>(1)</w:t>
            </w:r>
          </w:p>
        </w:tc>
        <w:tc>
          <w:tcPr>
            <w:tcW w:w="134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45"/>
        </w:trPr>
        <w:tc>
          <w:tcPr>
            <w:tcW w:w="2700" w:type="dxa"/>
            <w:vAlign w:val="bottom"/>
            <w:gridSpan w:val="2"/>
          </w:tcPr>
          <w:p>
            <w:pPr>
              <w:spacing w:after="0"/>
              <w:rPr>
                <w:sz w:val="20"/>
                <w:szCs w:val="20"/>
                <w:color w:val="auto"/>
              </w:rPr>
            </w:pPr>
            <w:r>
              <w:rPr>
                <w:rFonts w:ascii="Arial" w:cs="Arial" w:eastAsia="Arial" w:hAnsi="Arial"/>
                <w:sz w:val="10"/>
                <w:szCs w:val="10"/>
                <w:color w:val="auto"/>
              </w:rPr>
              <w:t>Architectural Glass Segment Net Sales</w:t>
            </w:r>
          </w:p>
        </w:tc>
        <w:tc>
          <w:tcPr>
            <w:tcW w:w="980" w:type="dxa"/>
            <w:vAlign w:val="bottom"/>
          </w:tcPr>
          <w:p>
            <w:pPr>
              <w:jc w:val="center"/>
              <w:spacing w:after="0"/>
              <w:rPr>
                <w:sz w:val="20"/>
                <w:szCs w:val="20"/>
                <w:color w:val="auto"/>
              </w:rPr>
            </w:pPr>
            <w:r>
              <w:rPr>
                <w:rFonts w:ascii="Arial" w:cs="Arial" w:eastAsia="Arial" w:hAnsi="Arial"/>
                <w:sz w:val="10"/>
                <w:szCs w:val="10"/>
                <w:color w:val="auto"/>
                <w:w w:val="89"/>
              </w:rPr>
              <w:t>25</w:t>
            </w:r>
          </w:p>
        </w:tc>
        <w:tc>
          <w:tcPr>
            <w:tcW w:w="80" w:type="dxa"/>
            <w:vAlign w:val="bottom"/>
          </w:tcPr>
          <w:p>
            <w:pPr>
              <w:spacing w:after="0"/>
              <w:rPr>
                <w:sz w:val="12"/>
                <w:szCs w:val="12"/>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color w:val="auto"/>
              </w:rPr>
              <w:t>288.000</w:t>
            </w:r>
          </w:p>
        </w:tc>
        <w:tc>
          <w:tcPr>
            <w:tcW w:w="80" w:type="dxa"/>
            <w:vAlign w:val="bottom"/>
          </w:tcPr>
          <w:p>
            <w:pPr>
              <w:spacing w:after="0"/>
              <w:rPr>
                <w:sz w:val="12"/>
                <w:szCs w:val="12"/>
                <w:color w:val="auto"/>
              </w:rPr>
            </w:pPr>
          </w:p>
        </w:tc>
        <w:tc>
          <w:tcPr>
            <w:tcW w:w="1520" w:type="dxa"/>
            <w:vAlign w:val="bottom"/>
          </w:tcPr>
          <w:p>
            <w:pPr>
              <w:jc w:val="right"/>
              <w:ind w:right="232"/>
              <w:spacing w:after="0"/>
              <w:rPr>
                <w:sz w:val="20"/>
                <w:szCs w:val="20"/>
                <w:color w:val="auto"/>
              </w:rPr>
            </w:pPr>
            <w:r>
              <w:rPr>
                <w:rFonts w:ascii="Arial" w:cs="Arial" w:eastAsia="Arial" w:hAnsi="Arial"/>
                <w:sz w:val="10"/>
                <w:szCs w:val="10"/>
                <w:color w:val="auto"/>
              </w:rPr>
              <w:t>320.000</w:t>
            </w:r>
          </w:p>
        </w:tc>
        <w:tc>
          <w:tcPr>
            <w:tcW w:w="80" w:type="dxa"/>
            <w:vAlign w:val="bottom"/>
          </w:tcPr>
          <w:p>
            <w:pPr>
              <w:spacing w:after="0"/>
              <w:rPr>
                <w:sz w:val="12"/>
                <w:szCs w:val="12"/>
                <w:color w:val="auto"/>
              </w:rPr>
            </w:pPr>
          </w:p>
        </w:tc>
        <w:tc>
          <w:tcPr>
            <w:tcW w:w="1340" w:type="dxa"/>
            <w:vAlign w:val="bottom"/>
          </w:tcPr>
          <w:p>
            <w:pPr>
              <w:jc w:val="right"/>
              <w:ind w:right="112"/>
              <w:spacing w:after="0"/>
              <w:rPr>
                <w:sz w:val="20"/>
                <w:szCs w:val="20"/>
                <w:color w:val="auto"/>
              </w:rPr>
            </w:pPr>
            <w:r>
              <w:rPr>
                <w:rFonts w:ascii="Arial" w:cs="Arial" w:eastAsia="Arial" w:hAnsi="Arial"/>
                <w:sz w:val="10"/>
                <w:szCs w:val="10"/>
                <w:color w:val="auto"/>
              </w:rPr>
              <w:t>352.000</w:t>
            </w:r>
          </w:p>
        </w:tc>
        <w:tc>
          <w:tcPr>
            <w:tcW w:w="80" w:type="dxa"/>
            <w:vAlign w:val="bottom"/>
          </w:tcPr>
          <w:p>
            <w:pPr>
              <w:spacing w:after="0"/>
              <w:rPr>
                <w:sz w:val="12"/>
                <w:szCs w:val="12"/>
                <w:color w:val="auto"/>
              </w:rPr>
            </w:pPr>
          </w:p>
        </w:tc>
        <w:tc>
          <w:tcPr>
            <w:tcW w:w="1340" w:type="dxa"/>
            <w:vAlign w:val="bottom"/>
          </w:tcPr>
          <w:p>
            <w:pPr>
              <w:jc w:val="right"/>
              <w:ind w:right="112"/>
              <w:spacing w:after="0"/>
              <w:rPr>
                <w:sz w:val="20"/>
                <w:szCs w:val="20"/>
                <w:color w:val="auto"/>
              </w:rPr>
            </w:pPr>
            <w:r>
              <w:rPr>
                <w:rFonts w:ascii="Arial" w:cs="Arial" w:eastAsia="Arial" w:hAnsi="Arial"/>
                <w:sz w:val="10"/>
                <w:szCs w:val="10"/>
                <w:color w:val="auto"/>
              </w:rPr>
              <w:t>283.659</w:t>
            </w:r>
          </w:p>
        </w:tc>
        <w:tc>
          <w:tcPr>
            <w:tcW w:w="2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61"/>
        </w:trPr>
        <w:tc>
          <w:tcPr>
            <w:tcW w:w="2700" w:type="dxa"/>
            <w:vAlign w:val="bottom"/>
            <w:gridSpan w:val="2"/>
            <w:shd w:val="clear" w:color="auto" w:fill="D9D9D9"/>
          </w:tcPr>
          <w:p>
            <w:pPr>
              <w:spacing w:after="0"/>
              <w:rPr>
                <w:sz w:val="20"/>
                <w:szCs w:val="20"/>
                <w:color w:val="auto"/>
              </w:rPr>
            </w:pPr>
            <w:r>
              <w:rPr>
                <w:rFonts w:ascii="Arial" w:cs="Arial" w:eastAsia="Arial" w:hAnsi="Arial"/>
                <w:sz w:val="10"/>
                <w:szCs w:val="10"/>
                <w:color w:val="auto"/>
              </w:rPr>
              <w:t>Architectural Glass Segment Adjusted EBITDA</w:t>
            </w:r>
          </w:p>
        </w:tc>
        <w:tc>
          <w:tcPr>
            <w:tcW w:w="9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89"/>
              </w:rPr>
              <w:t>50</w:t>
            </w:r>
          </w:p>
        </w:tc>
        <w:tc>
          <w:tcPr>
            <w:tcW w:w="80" w:type="dxa"/>
            <w:vAlign w:val="bottom"/>
            <w:shd w:val="clear" w:color="auto" w:fill="D9D9D9"/>
          </w:tcPr>
          <w:p>
            <w:pPr>
              <w:spacing w:after="0"/>
              <w:rPr>
                <w:sz w:val="13"/>
                <w:szCs w:val="13"/>
                <w:color w:val="auto"/>
              </w:rPr>
            </w:pPr>
          </w:p>
        </w:tc>
        <w:tc>
          <w:tcPr>
            <w:tcW w:w="14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56.600</w:t>
            </w:r>
          </w:p>
        </w:tc>
        <w:tc>
          <w:tcPr>
            <w:tcW w:w="80" w:type="dxa"/>
            <w:vAlign w:val="bottom"/>
            <w:shd w:val="clear" w:color="auto" w:fill="D9D9D9"/>
          </w:tcPr>
          <w:p>
            <w:pPr>
              <w:spacing w:after="0"/>
              <w:rPr>
                <w:sz w:val="13"/>
                <w:szCs w:val="13"/>
                <w:color w:val="auto"/>
              </w:rPr>
            </w:pPr>
          </w:p>
        </w:tc>
        <w:tc>
          <w:tcPr>
            <w:tcW w:w="1520" w:type="dxa"/>
            <w:vAlign w:val="bottom"/>
            <w:shd w:val="clear" w:color="auto" w:fill="D9D9D9"/>
          </w:tcPr>
          <w:p>
            <w:pPr>
              <w:jc w:val="right"/>
              <w:ind w:right="232"/>
              <w:spacing w:after="0"/>
              <w:rPr>
                <w:sz w:val="20"/>
                <w:szCs w:val="20"/>
                <w:color w:val="auto"/>
              </w:rPr>
            </w:pPr>
            <w:r>
              <w:rPr>
                <w:rFonts w:ascii="Arial" w:cs="Arial" w:eastAsia="Arial" w:hAnsi="Arial"/>
                <w:sz w:val="10"/>
                <w:szCs w:val="10"/>
                <w:color w:val="auto"/>
              </w:rPr>
              <w:t>70.800</w:t>
            </w:r>
          </w:p>
        </w:tc>
        <w:tc>
          <w:tcPr>
            <w:tcW w:w="80" w:type="dxa"/>
            <w:vAlign w:val="bottom"/>
            <w:shd w:val="clear" w:color="auto" w:fill="D9D9D9"/>
          </w:tcPr>
          <w:p>
            <w:pPr>
              <w:spacing w:after="0"/>
              <w:rPr>
                <w:sz w:val="13"/>
                <w:szCs w:val="13"/>
                <w:color w:val="auto"/>
              </w:rPr>
            </w:pPr>
          </w:p>
        </w:tc>
        <w:tc>
          <w:tcPr>
            <w:tcW w:w="1340" w:type="dxa"/>
            <w:vAlign w:val="bottom"/>
            <w:shd w:val="clear" w:color="auto" w:fill="D9D9D9"/>
          </w:tcPr>
          <w:p>
            <w:pPr>
              <w:jc w:val="right"/>
              <w:ind w:right="112"/>
              <w:spacing w:after="0"/>
              <w:rPr>
                <w:sz w:val="20"/>
                <w:szCs w:val="20"/>
                <w:color w:val="auto"/>
              </w:rPr>
            </w:pPr>
            <w:r>
              <w:rPr>
                <w:rFonts w:ascii="Arial" w:cs="Arial" w:eastAsia="Arial" w:hAnsi="Arial"/>
                <w:sz w:val="10"/>
                <w:szCs w:val="10"/>
                <w:color w:val="auto"/>
              </w:rPr>
              <w:t>81.400</w:t>
            </w:r>
          </w:p>
        </w:tc>
        <w:tc>
          <w:tcPr>
            <w:tcW w:w="80" w:type="dxa"/>
            <w:vAlign w:val="bottom"/>
            <w:shd w:val="clear" w:color="auto" w:fill="D9D9D9"/>
          </w:tcPr>
          <w:p>
            <w:pPr>
              <w:spacing w:after="0"/>
              <w:rPr>
                <w:sz w:val="13"/>
                <w:szCs w:val="13"/>
                <w:color w:val="auto"/>
              </w:rPr>
            </w:pPr>
          </w:p>
        </w:tc>
        <w:tc>
          <w:tcPr>
            <w:tcW w:w="1340" w:type="dxa"/>
            <w:vAlign w:val="bottom"/>
            <w:shd w:val="clear" w:color="auto" w:fill="D9D9D9"/>
          </w:tcPr>
          <w:p>
            <w:pPr>
              <w:jc w:val="right"/>
              <w:ind w:right="112"/>
              <w:spacing w:after="0"/>
              <w:rPr>
                <w:sz w:val="20"/>
                <w:szCs w:val="20"/>
                <w:color w:val="auto"/>
              </w:rPr>
            </w:pPr>
            <w:r>
              <w:rPr>
                <w:rFonts w:ascii="Arial" w:cs="Arial" w:eastAsia="Arial" w:hAnsi="Arial"/>
                <w:sz w:val="10"/>
                <w:szCs w:val="10"/>
                <w:color w:val="auto"/>
              </w:rPr>
              <w:t>45.699</w:t>
            </w:r>
          </w:p>
        </w:tc>
        <w:tc>
          <w:tcPr>
            <w:tcW w:w="280" w:type="dxa"/>
            <w:vAlign w:val="bottom"/>
            <w:shd w:val="clear" w:color="auto" w:fill="D9D9D9"/>
          </w:tcPr>
          <w:p>
            <w:pPr>
              <w:jc w:val="right"/>
              <w:ind w:right="69"/>
              <w:spacing w:after="0"/>
              <w:rPr>
                <w:sz w:val="20"/>
                <w:szCs w:val="20"/>
                <w:color w:val="auto"/>
              </w:rPr>
            </w:pPr>
            <w:r>
              <w:rPr>
                <w:rFonts w:ascii="Arial" w:cs="Arial" w:eastAsia="Arial" w:hAnsi="Arial"/>
                <w:sz w:val="6"/>
                <w:szCs w:val="6"/>
                <w:color w:val="auto"/>
              </w:rPr>
              <w:t>(1)</w:t>
            </w:r>
          </w:p>
        </w:tc>
        <w:tc>
          <w:tcPr>
            <w:tcW w:w="134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08" w:hanging="308"/>
        <w:spacing w:after="0"/>
        <w:tabs>
          <w:tab w:leader="none" w:pos="3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 xml:space="preserve">Consolidated and Segment Adjusted EBITDA are non-GAAP measures which are further defined on page </w:t>
      </w:r>
      <w:r>
        <w:rPr>
          <w:rFonts w:ascii="Arial" w:cs="Arial" w:eastAsia="Arial" w:hAnsi="Arial"/>
          <w:sz w:val="12"/>
          <w:szCs w:val="12"/>
          <w:u w:val="single" w:color="auto"/>
          <w:color w:val="0000FF"/>
        </w:rPr>
        <w:t>36</w:t>
      </w:r>
      <w:r>
        <w:rPr>
          <w:rFonts w:ascii="Arial" w:cs="Arial" w:eastAsia="Arial" w:hAnsi="Arial"/>
          <w:sz w:val="12"/>
          <w:szCs w:val="12"/>
          <w:color w:val="auto"/>
        </w:rPr>
        <w:t>, and reconciled to GAAP net earnings in Appendix A to this Proxy Statement.</w:t>
      </w:r>
    </w:p>
    <w:p>
      <w:pPr>
        <w:spacing w:after="0" w:line="78"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The following table sets forth certain information with respect to the fiscal 2026 short-term cash incentive compensation payouts for each of our Named Executive Officers other than Mr. Nolan and Mr. Silberhorn, whose payouts were established by their CEO Offer Letter and Separation Agreement, respectively, and Mr. Osberg who forfeited his fiscal 2026 short-term cash incentive compensation payout when he resigned from the Company.</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6"/>
          </w:tcPr>
          <w:p>
            <w:pPr>
              <w:ind w:left="480"/>
              <w:spacing w:after="0"/>
              <w:rPr>
                <w:sz w:val="20"/>
                <w:szCs w:val="20"/>
                <w:color w:val="auto"/>
              </w:rPr>
            </w:pPr>
            <w:r>
              <w:rPr>
                <w:rFonts w:ascii="Arial" w:cs="Arial" w:eastAsia="Arial" w:hAnsi="Arial"/>
                <w:sz w:val="12"/>
                <w:szCs w:val="12"/>
                <w:b w:val="1"/>
                <w:bCs w:val="1"/>
                <w:color w:val="auto"/>
              </w:rPr>
              <w:t>Fiscal 2026 Short-Term Cash Incentive Payouts</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Borders>
              <w:bottom w:val="single" w:sz="8" w:color="auto"/>
            </w:tcBorders>
            <w:gridSpan w:val="3"/>
          </w:tcPr>
          <w:p>
            <w:pPr>
              <w:ind w:left="860"/>
              <w:spacing w:after="0"/>
              <w:rPr>
                <w:sz w:val="20"/>
                <w:szCs w:val="20"/>
                <w:color w:val="auto"/>
              </w:rPr>
            </w:pPr>
            <w:r>
              <w:rPr>
                <w:rFonts w:ascii="Arial" w:cs="Arial" w:eastAsia="Arial" w:hAnsi="Arial"/>
                <w:sz w:val="10"/>
                <w:szCs w:val="10"/>
                <w:b w:val="1"/>
                <w:bCs w:val="1"/>
                <w:color w:val="05445E"/>
                <w:w w:val="94"/>
              </w:rPr>
              <w:t>Target Payout Opportunity</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420"/>
              <w:spacing w:after="0"/>
              <w:rPr>
                <w:sz w:val="20"/>
                <w:szCs w:val="20"/>
                <w:color w:val="auto"/>
              </w:rPr>
            </w:pPr>
            <w:r>
              <w:rPr>
                <w:rFonts w:ascii="Arial" w:cs="Arial" w:eastAsia="Arial" w:hAnsi="Arial"/>
                <w:sz w:val="10"/>
                <w:szCs w:val="10"/>
                <w:b w:val="1"/>
                <w:bCs w:val="1"/>
                <w:color w:val="05445E"/>
              </w:rPr>
              <w:t>Actual Payout</w:t>
            </w: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r>
      <w:tr>
        <w:trPr>
          <w:trHeight w:val="123"/>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tcPr>
          <w:p>
            <w:pPr>
              <w:jc w:val="center"/>
              <w:spacing w:after="0"/>
              <w:rPr>
                <w:sz w:val="20"/>
                <w:szCs w:val="20"/>
                <w:color w:val="auto"/>
              </w:rPr>
            </w:pPr>
            <w:r>
              <w:rPr>
                <w:rFonts w:ascii="Arial" w:cs="Arial" w:eastAsia="Arial" w:hAnsi="Arial"/>
                <w:sz w:val="10"/>
                <w:szCs w:val="10"/>
                <w:b w:val="1"/>
                <w:bCs w:val="1"/>
                <w:color w:val="05445E"/>
                <w:w w:val="92"/>
              </w:rPr>
              <w:t>Percent</w:t>
            </w:r>
          </w:p>
        </w:tc>
      </w:tr>
      <w:tr>
        <w:trPr>
          <w:trHeight w:val="117"/>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tcPr>
          <w:p>
            <w:pPr>
              <w:jc w:val="center"/>
              <w:spacing w:after="0"/>
              <w:rPr>
                <w:sz w:val="20"/>
                <w:szCs w:val="20"/>
                <w:color w:val="auto"/>
              </w:rPr>
            </w:pPr>
            <w:r>
              <w:rPr>
                <w:rFonts w:ascii="Arial" w:cs="Arial" w:eastAsia="Arial" w:hAnsi="Arial"/>
                <w:sz w:val="10"/>
                <w:szCs w:val="10"/>
                <w:b w:val="1"/>
                <w:bCs w:val="1"/>
                <w:color w:val="05445E"/>
              </w:rPr>
              <w:t>of</w:t>
            </w:r>
          </w:p>
        </w:tc>
      </w:tr>
      <w:tr>
        <w:trPr>
          <w:trHeight w:val="117"/>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05445E"/>
                <w:w w:val="93"/>
              </w:rPr>
              <w:t>Percent of</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6"/>
              </w:rPr>
              <w:t>Formula</w:t>
            </w:r>
          </w:p>
        </w:tc>
        <w:tc>
          <w:tcPr>
            <w:tcW w:w="1520" w:type="dxa"/>
            <w:vAlign w:val="bottom"/>
            <w:gridSpan w:val="2"/>
          </w:tcPr>
          <w:p>
            <w:pPr>
              <w:jc w:val="center"/>
              <w:spacing w:after="0"/>
              <w:rPr>
                <w:sz w:val="20"/>
                <w:szCs w:val="20"/>
                <w:color w:val="auto"/>
              </w:rPr>
            </w:pPr>
            <w:r>
              <w:rPr>
                <w:rFonts w:ascii="Arial" w:cs="Arial" w:eastAsia="Arial" w:hAnsi="Arial"/>
                <w:sz w:val="10"/>
                <w:szCs w:val="10"/>
                <w:b w:val="1"/>
                <w:bCs w:val="1"/>
                <w:color w:val="05445E"/>
                <w:w w:val="91"/>
              </w:rPr>
              <w:t>Fiscal</w:t>
            </w:r>
          </w:p>
        </w:tc>
      </w:tr>
      <w:tr>
        <w:trPr>
          <w:trHeight w:val="108"/>
        </w:trPr>
        <w:tc>
          <w:tcPr>
            <w:tcW w:w="2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05445E"/>
                <w:w w:val="93"/>
              </w:rPr>
              <w:t>Fiscal 2026</w:t>
            </w: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05445E"/>
                <w:w w:val="93"/>
              </w:rPr>
              <w:t>Percent of</w:t>
            </w:r>
          </w:p>
        </w:tc>
        <w:tc>
          <w:tcPr>
            <w:tcW w:w="166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05445E"/>
                <w:w w:val="95"/>
              </w:rPr>
              <w:t>Payout</w:t>
            </w:r>
          </w:p>
        </w:tc>
        <w:tc>
          <w:tcPr>
            <w:tcW w:w="1440" w:type="dxa"/>
            <w:vAlign w:val="bottom"/>
          </w:tcPr>
          <w:p>
            <w:pPr>
              <w:jc w:val="right"/>
              <w:ind w:right="512"/>
              <w:spacing w:after="0" w:line="108" w:lineRule="exact"/>
              <w:rPr>
                <w:sz w:val="20"/>
                <w:szCs w:val="20"/>
                <w:color w:val="auto"/>
              </w:rPr>
            </w:pPr>
            <w:r>
              <w:rPr>
                <w:rFonts w:ascii="Arial" w:cs="Arial" w:eastAsia="Arial" w:hAnsi="Arial"/>
                <w:sz w:val="10"/>
                <w:szCs w:val="10"/>
                <w:b w:val="1"/>
                <w:bCs w:val="1"/>
                <w:color w:val="05445E"/>
              </w:rPr>
              <w:t>2026</w:t>
            </w:r>
          </w:p>
        </w:tc>
        <w:tc>
          <w:tcPr>
            <w:tcW w:w="80" w:type="dxa"/>
            <w:vAlign w:val="bottom"/>
          </w:tcPr>
          <w:p>
            <w:pPr>
              <w:spacing w:after="0"/>
              <w:rPr>
                <w:sz w:val="9"/>
                <w:szCs w:val="9"/>
                <w:color w:val="auto"/>
              </w:rPr>
            </w:pPr>
          </w:p>
        </w:tc>
      </w:tr>
      <w:tr>
        <w:trPr>
          <w:trHeight w:val="117"/>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05445E"/>
                <w:w w:val="99"/>
              </w:rPr>
              <w:t>Salary</w:t>
            </w:r>
          </w:p>
        </w:tc>
        <w:tc>
          <w:tcPr>
            <w:tcW w:w="1020" w:type="dxa"/>
            <w:vAlign w:val="bottom"/>
            <w:gridSpan w:val="2"/>
          </w:tcPr>
          <w:p>
            <w:pPr>
              <w:spacing w:after="0"/>
              <w:rPr>
                <w:sz w:val="20"/>
                <w:szCs w:val="20"/>
                <w:color w:val="auto"/>
              </w:rPr>
            </w:pPr>
            <w:r>
              <w:rPr>
                <w:rFonts w:ascii="Arial" w:cs="Arial" w:eastAsia="Arial" w:hAnsi="Arial"/>
                <w:sz w:val="10"/>
                <w:szCs w:val="10"/>
                <w:b w:val="1"/>
                <w:bCs w:val="1"/>
                <w:color w:val="05445E"/>
              </w:rPr>
              <w:t>Amount</w:t>
            </w:r>
          </w:p>
        </w:tc>
        <w:tc>
          <w:tcPr>
            <w:tcW w:w="16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1"/>
              </w:rPr>
              <w:t>Target</w:t>
            </w:r>
          </w:p>
        </w:tc>
        <w:tc>
          <w:tcPr>
            <w:tcW w:w="1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5"/>
              </w:rPr>
              <w:t>Amount</w:t>
            </w:r>
          </w:p>
        </w:tc>
        <w:tc>
          <w:tcPr>
            <w:tcW w:w="1520" w:type="dxa"/>
            <w:vAlign w:val="bottom"/>
            <w:gridSpan w:val="2"/>
          </w:tcPr>
          <w:p>
            <w:pPr>
              <w:jc w:val="center"/>
              <w:spacing w:after="0"/>
              <w:rPr>
                <w:sz w:val="20"/>
                <w:szCs w:val="20"/>
                <w:color w:val="auto"/>
              </w:rPr>
            </w:pPr>
            <w:r>
              <w:rPr>
                <w:rFonts w:ascii="Arial" w:cs="Arial" w:eastAsia="Arial" w:hAnsi="Arial"/>
                <w:sz w:val="10"/>
                <w:szCs w:val="10"/>
                <w:b w:val="1"/>
                <w:bCs w:val="1"/>
                <w:color w:val="05445E"/>
                <w:w w:val="99"/>
              </w:rPr>
              <w:t>Salary</w:t>
            </w:r>
          </w:p>
        </w:tc>
      </w:tr>
      <w:tr>
        <w:trPr>
          <w:trHeight w:val="141"/>
        </w:trPr>
        <w:tc>
          <w:tcPr>
            <w:tcW w:w="2400" w:type="dxa"/>
            <w:vAlign w:val="bottom"/>
            <w:tcBorders>
              <w:bottom w:val="single" w:sz="8" w:color="929292"/>
            </w:tcBorders>
          </w:tcPr>
          <w:p>
            <w:pPr>
              <w:spacing w:after="0"/>
              <w:rPr>
                <w:sz w:val="20"/>
                <w:szCs w:val="20"/>
                <w:color w:val="auto"/>
              </w:rPr>
            </w:pPr>
            <w:r>
              <w:rPr>
                <w:rFonts w:ascii="Arial" w:cs="Arial" w:eastAsia="Arial" w:hAnsi="Arial"/>
                <w:sz w:val="10"/>
                <w:szCs w:val="10"/>
                <w:b w:val="1"/>
                <w:bCs w:val="1"/>
                <w:color w:val="05445E"/>
              </w:rPr>
              <w:t>Name</w:t>
            </w:r>
          </w:p>
        </w:tc>
        <w:tc>
          <w:tcPr>
            <w:tcW w:w="80" w:type="dxa"/>
            <w:vAlign w:val="bottom"/>
            <w:tcBorders>
              <w:bottom w:val="single" w:sz="8" w:color="DBDBDB"/>
            </w:tcBorders>
          </w:tcPr>
          <w:p>
            <w:pPr>
              <w:spacing w:after="0"/>
              <w:rPr>
                <w:sz w:val="12"/>
                <w:szCs w:val="12"/>
                <w:color w:val="auto"/>
              </w:rPr>
            </w:pPr>
          </w:p>
        </w:tc>
        <w:tc>
          <w:tcPr>
            <w:tcW w:w="142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80" w:type="dxa"/>
            <w:vAlign w:val="bottom"/>
            <w:tcBorders>
              <w:bottom w:val="single" w:sz="8" w:color="DBDBDB"/>
            </w:tcBorders>
          </w:tcPr>
          <w:p>
            <w:pPr>
              <w:spacing w:after="0"/>
              <w:rPr>
                <w:sz w:val="12"/>
                <w:szCs w:val="12"/>
                <w:color w:val="auto"/>
              </w:rPr>
            </w:pPr>
          </w:p>
        </w:tc>
        <w:tc>
          <w:tcPr>
            <w:tcW w:w="580" w:type="dxa"/>
            <w:vAlign w:val="bottom"/>
            <w:tcBorders>
              <w:bottom w:val="single" w:sz="8" w:color="929292"/>
            </w:tcBorders>
          </w:tcPr>
          <w:p>
            <w:pPr>
              <w:spacing w:after="0"/>
              <w:rPr>
                <w:sz w:val="12"/>
                <w:szCs w:val="12"/>
                <w:color w:val="auto"/>
              </w:rPr>
            </w:pPr>
          </w:p>
        </w:tc>
        <w:tc>
          <w:tcPr>
            <w:tcW w:w="940" w:type="dxa"/>
            <w:vAlign w:val="bottom"/>
            <w:tcBorders>
              <w:bottom w:val="single" w:sz="8" w:color="929292"/>
            </w:tcBorders>
          </w:tcPr>
          <w:p>
            <w:pPr>
              <w:jc w:val="right"/>
              <w:ind w:right="651"/>
              <w:spacing w:after="0"/>
              <w:rPr>
                <w:sz w:val="20"/>
                <w:szCs w:val="20"/>
                <w:color w:val="auto"/>
              </w:rPr>
            </w:pPr>
            <w:r>
              <w:rPr>
                <w:rFonts w:ascii="Arial" w:cs="Arial" w:eastAsia="Arial" w:hAnsi="Arial"/>
                <w:sz w:val="10"/>
                <w:szCs w:val="10"/>
                <w:b w:val="1"/>
                <w:bCs w:val="1"/>
                <w:color w:val="05445E"/>
              </w:rPr>
              <w:t>($)</w:t>
            </w:r>
          </w:p>
        </w:tc>
        <w:tc>
          <w:tcPr>
            <w:tcW w:w="80" w:type="dxa"/>
            <w:vAlign w:val="bottom"/>
            <w:tcBorders>
              <w:bottom w:val="single" w:sz="8" w:color="DBDBDB"/>
            </w:tcBorders>
          </w:tcPr>
          <w:p>
            <w:pPr>
              <w:spacing w:after="0"/>
              <w:rPr>
                <w:sz w:val="12"/>
                <w:szCs w:val="12"/>
                <w:color w:val="auto"/>
              </w:rPr>
            </w:pPr>
          </w:p>
        </w:tc>
        <w:tc>
          <w:tcPr>
            <w:tcW w:w="154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89"/>
              </w:rPr>
              <w:t>(%)</w:t>
            </w:r>
          </w:p>
        </w:tc>
        <w:tc>
          <w:tcPr>
            <w:tcW w:w="80" w:type="dxa"/>
            <w:vAlign w:val="bottom"/>
            <w:tcBorders>
              <w:bottom w:val="single" w:sz="8" w:color="DBDBDB"/>
            </w:tcBorders>
          </w:tcPr>
          <w:p>
            <w:pPr>
              <w:spacing w:after="0"/>
              <w:rPr>
                <w:sz w:val="12"/>
                <w:szCs w:val="12"/>
                <w:color w:val="auto"/>
              </w:rPr>
            </w:pPr>
          </w:p>
        </w:tc>
        <w:tc>
          <w:tcPr>
            <w:tcW w:w="158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Borders>
              <w:bottom w:val="single" w:sz="8" w:color="DBDBDB"/>
            </w:tcBorders>
          </w:tcPr>
          <w:p>
            <w:pPr>
              <w:spacing w:after="0"/>
              <w:rPr>
                <w:sz w:val="12"/>
                <w:szCs w:val="12"/>
                <w:color w:val="auto"/>
              </w:rPr>
            </w:pPr>
          </w:p>
        </w:tc>
        <w:tc>
          <w:tcPr>
            <w:tcW w:w="1440" w:type="dxa"/>
            <w:vAlign w:val="bottom"/>
            <w:tcBorders>
              <w:bottom w:val="single" w:sz="8" w:color="929292"/>
            </w:tcBorders>
          </w:tcPr>
          <w:p>
            <w:pPr>
              <w:jc w:val="right"/>
              <w:ind w:right="552"/>
              <w:spacing w:after="0"/>
              <w:rPr>
                <w:sz w:val="20"/>
                <w:szCs w:val="20"/>
                <w:color w:val="auto"/>
              </w:rPr>
            </w:pPr>
            <w:r>
              <w:rPr>
                <w:rFonts w:ascii="Arial" w:cs="Arial" w:eastAsia="Arial" w:hAnsi="Arial"/>
                <w:sz w:val="10"/>
                <w:szCs w:val="10"/>
                <w:b w:val="1"/>
                <w:bCs w:val="1"/>
                <w:color w:val="05445E"/>
              </w:rPr>
              <w:t>(%)</w:t>
            </w:r>
          </w:p>
        </w:tc>
        <w:tc>
          <w:tcPr>
            <w:tcW w:w="80" w:type="dxa"/>
            <w:vAlign w:val="bottom"/>
            <w:tcBorders>
              <w:bottom w:val="single" w:sz="8" w:color="929292"/>
            </w:tcBorders>
          </w:tcPr>
          <w:p>
            <w:pPr>
              <w:spacing w:after="0"/>
              <w:rPr>
                <w:sz w:val="12"/>
                <w:szCs w:val="12"/>
                <w:color w:val="auto"/>
              </w:rPr>
            </w:pPr>
          </w:p>
        </w:tc>
      </w:tr>
      <w:tr>
        <w:trPr>
          <w:trHeight w:val="143"/>
        </w:trPr>
        <w:tc>
          <w:tcPr>
            <w:tcW w:w="248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Mark R. Augdahl</w:t>
            </w:r>
          </w:p>
        </w:tc>
        <w:tc>
          <w:tcPr>
            <w:tcW w:w="14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50.00</w:t>
            </w: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940" w:type="dxa"/>
            <w:vAlign w:val="bottom"/>
            <w:shd w:val="clear" w:color="auto" w:fill="DBDBDB"/>
          </w:tcPr>
          <w:p>
            <w:pPr>
              <w:jc w:val="right"/>
              <w:ind w:right="191"/>
              <w:spacing w:after="0"/>
              <w:rPr>
                <w:sz w:val="20"/>
                <w:szCs w:val="20"/>
                <w:color w:val="auto"/>
              </w:rPr>
            </w:pPr>
            <w:r>
              <w:rPr>
                <w:rFonts w:ascii="Arial" w:cs="Arial" w:eastAsia="Arial" w:hAnsi="Arial"/>
                <w:sz w:val="10"/>
                <w:szCs w:val="10"/>
                <w:color w:val="auto"/>
              </w:rPr>
              <w:t>176,500</w:t>
            </w:r>
          </w:p>
        </w:tc>
        <w:tc>
          <w:tcPr>
            <w:tcW w:w="80" w:type="dxa"/>
            <w:vAlign w:val="bottom"/>
            <w:shd w:val="clear" w:color="auto" w:fill="DBDBDB"/>
          </w:tcPr>
          <w:p>
            <w:pPr>
              <w:spacing w:after="0"/>
              <w:rPr>
                <w:sz w:val="12"/>
                <w:szCs w:val="12"/>
                <w:color w:val="auto"/>
              </w:rPr>
            </w:pPr>
          </w:p>
        </w:tc>
        <w:tc>
          <w:tcPr>
            <w:tcW w:w="1540" w:type="dxa"/>
            <w:vAlign w:val="bottom"/>
            <w:shd w:val="clear" w:color="auto" w:fill="DBDBDB"/>
          </w:tcPr>
          <w:p>
            <w:pPr>
              <w:jc w:val="right"/>
              <w:ind w:right="492"/>
              <w:spacing w:after="0"/>
              <w:rPr>
                <w:sz w:val="20"/>
                <w:szCs w:val="20"/>
                <w:color w:val="auto"/>
              </w:rPr>
            </w:pPr>
            <w:r>
              <w:rPr>
                <w:rFonts w:ascii="Arial" w:cs="Arial" w:eastAsia="Arial" w:hAnsi="Arial"/>
                <w:sz w:val="10"/>
                <w:szCs w:val="10"/>
                <w:color w:val="auto"/>
              </w:rPr>
              <w:t>21.17</w:t>
            </w:r>
          </w:p>
        </w:tc>
        <w:tc>
          <w:tcPr>
            <w:tcW w:w="80" w:type="dxa"/>
            <w:vAlign w:val="bottom"/>
            <w:shd w:val="clear" w:color="auto" w:fill="DBDBDB"/>
          </w:tcPr>
          <w:p>
            <w:pPr>
              <w:spacing w:after="0"/>
              <w:rPr>
                <w:sz w:val="12"/>
                <w:szCs w:val="12"/>
                <w:color w:val="auto"/>
              </w:rPr>
            </w:pPr>
          </w:p>
        </w:tc>
        <w:tc>
          <w:tcPr>
            <w:tcW w:w="1580" w:type="dxa"/>
            <w:vAlign w:val="bottom"/>
            <w:shd w:val="clear" w:color="auto" w:fill="DBDBDB"/>
          </w:tcPr>
          <w:p>
            <w:pPr>
              <w:jc w:val="right"/>
              <w:ind w:right="332"/>
              <w:spacing w:after="0"/>
              <w:rPr>
                <w:sz w:val="20"/>
                <w:szCs w:val="20"/>
                <w:color w:val="auto"/>
              </w:rPr>
            </w:pPr>
            <w:r>
              <w:rPr>
                <w:rFonts w:ascii="Arial" w:cs="Arial" w:eastAsia="Arial" w:hAnsi="Arial"/>
                <w:sz w:val="10"/>
                <w:szCs w:val="10"/>
                <w:color w:val="auto"/>
              </w:rPr>
              <w:t>37,365</w:t>
            </w:r>
          </w:p>
        </w:tc>
        <w:tc>
          <w:tcPr>
            <w:tcW w:w="80" w:type="dxa"/>
            <w:vAlign w:val="bottom"/>
            <w:shd w:val="clear" w:color="auto" w:fill="DBDBDB"/>
          </w:tcPr>
          <w:p>
            <w:pPr>
              <w:spacing w:after="0"/>
              <w:rPr>
                <w:sz w:val="12"/>
                <w:szCs w:val="12"/>
                <w:color w:val="auto"/>
              </w:rPr>
            </w:pPr>
          </w:p>
        </w:tc>
        <w:tc>
          <w:tcPr>
            <w:tcW w:w="144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10.58</w:t>
            </w:r>
          </w:p>
        </w:tc>
        <w:tc>
          <w:tcPr>
            <w:tcW w:w="80" w:type="dxa"/>
            <w:vAlign w:val="bottom"/>
            <w:shd w:val="clear" w:color="auto" w:fill="DBDBDB"/>
          </w:tcPr>
          <w:p>
            <w:pPr>
              <w:spacing w:after="0"/>
              <w:rPr>
                <w:sz w:val="12"/>
                <w:szCs w:val="12"/>
                <w:color w:val="auto"/>
              </w:rPr>
            </w:pPr>
          </w:p>
        </w:tc>
      </w:tr>
      <w:tr>
        <w:trPr>
          <w:trHeight w:val="146"/>
        </w:trPr>
        <w:tc>
          <w:tcPr>
            <w:tcW w:w="2480" w:type="dxa"/>
            <w:vAlign w:val="bottom"/>
            <w:gridSpan w:val="2"/>
          </w:tcPr>
          <w:p>
            <w:pPr>
              <w:spacing w:after="0"/>
              <w:rPr>
                <w:sz w:val="20"/>
                <w:szCs w:val="20"/>
                <w:color w:val="auto"/>
              </w:rPr>
            </w:pPr>
            <w:r>
              <w:rPr>
                <w:rFonts w:ascii="Arial" w:cs="Arial" w:eastAsia="Arial" w:hAnsi="Arial"/>
                <w:sz w:val="10"/>
                <w:szCs w:val="10"/>
                <w:color w:val="auto"/>
              </w:rPr>
              <w:t>Troy R. Johnson</w:t>
            </w:r>
            <w:r>
              <w:rPr>
                <w:rFonts w:ascii="Arial" w:cs="Arial" w:eastAsia="Arial" w:hAnsi="Arial"/>
                <w:sz w:val="6"/>
                <w:szCs w:val="6"/>
                <w:color w:val="auto"/>
              </w:rPr>
              <w:t>(1)</w:t>
            </w:r>
          </w:p>
        </w:tc>
        <w:tc>
          <w:tcPr>
            <w:tcW w:w="1420" w:type="dxa"/>
            <w:vAlign w:val="bottom"/>
          </w:tcPr>
          <w:p>
            <w:pPr>
              <w:jc w:val="right"/>
              <w:ind w:right="92"/>
              <w:spacing w:after="0"/>
              <w:rPr>
                <w:sz w:val="20"/>
                <w:szCs w:val="20"/>
                <w:color w:val="auto"/>
              </w:rPr>
            </w:pPr>
            <w:r>
              <w:rPr>
                <w:rFonts w:ascii="Arial" w:cs="Arial" w:eastAsia="Arial" w:hAnsi="Arial"/>
                <w:sz w:val="10"/>
                <w:szCs w:val="10"/>
                <w:color w:val="auto"/>
              </w:rPr>
              <w:t>60.00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191"/>
              <w:spacing w:after="0"/>
              <w:rPr>
                <w:sz w:val="20"/>
                <w:szCs w:val="20"/>
                <w:color w:val="auto"/>
              </w:rPr>
            </w:pPr>
            <w:r>
              <w:rPr>
                <w:rFonts w:ascii="Arial" w:cs="Arial" w:eastAsia="Arial" w:hAnsi="Arial"/>
                <w:sz w:val="10"/>
                <w:szCs w:val="10"/>
                <w:color w:val="auto"/>
              </w:rPr>
              <w:t>288,015</w:t>
            </w:r>
          </w:p>
        </w:tc>
        <w:tc>
          <w:tcPr>
            <w:tcW w:w="80" w:type="dxa"/>
            <w:vAlign w:val="bottom"/>
          </w:tcPr>
          <w:p>
            <w:pPr>
              <w:spacing w:after="0"/>
              <w:rPr>
                <w:sz w:val="12"/>
                <w:szCs w:val="12"/>
                <w:color w:val="auto"/>
              </w:rPr>
            </w:pP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100.00</w:t>
            </w:r>
          </w:p>
        </w:tc>
        <w:tc>
          <w:tcPr>
            <w:tcW w:w="80" w:type="dxa"/>
            <w:vAlign w:val="bottom"/>
          </w:tcPr>
          <w:p>
            <w:pPr>
              <w:spacing w:after="0"/>
              <w:rPr>
                <w:sz w:val="12"/>
                <w:szCs w:val="12"/>
                <w:color w:val="auto"/>
              </w:rPr>
            </w:pPr>
          </w:p>
        </w:tc>
        <w:tc>
          <w:tcPr>
            <w:tcW w:w="1580" w:type="dxa"/>
            <w:vAlign w:val="bottom"/>
          </w:tcPr>
          <w:p>
            <w:pPr>
              <w:jc w:val="right"/>
              <w:ind w:right="292"/>
              <w:spacing w:after="0"/>
              <w:rPr>
                <w:sz w:val="20"/>
                <w:szCs w:val="20"/>
                <w:color w:val="auto"/>
              </w:rPr>
            </w:pPr>
            <w:r>
              <w:rPr>
                <w:rFonts w:ascii="Arial" w:cs="Arial" w:eastAsia="Arial" w:hAnsi="Arial"/>
                <w:sz w:val="10"/>
                <w:szCs w:val="10"/>
                <w:color w:val="auto"/>
              </w:rPr>
              <w:t>288,015</w:t>
            </w:r>
          </w:p>
        </w:tc>
        <w:tc>
          <w:tcPr>
            <w:tcW w:w="80" w:type="dxa"/>
            <w:vAlign w:val="bottom"/>
          </w:tcPr>
          <w:p>
            <w:pPr>
              <w:spacing w:after="0"/>
              <w:rPr>
                <w:sz w:val="12"/>
                <w:szCs w:val="12"/>
                <w:color w:val="auto"/>
              </w:rPr>
            </w:pPr>
          </w:p>
        </w:tc>
        <w:tc>
          <w:tcPr>
            <w:tcW w:w="1440" w:type="dxa"/>
            <w:vAlign w:val="bottom"/>
          </w:tcPr>
          <w:p>
            <w:pPr>
              <w:jc w:val="right"/>
              <w:ind w:right="252"/>
              <w:spacing w:after="0"/>
              <w:rPr>
                <w:sz w:val="20"/>
                <w:szCs w:val="20"/>
                <w:color w:val="auto"/>
              </w:rPr>
            </w:pPr>
            <w:r>
              <w:rPr>
                <w:rFonts w:ascii="Arial" w:cs="Arial" w:eastAsia="Arial" w:hAnsi="Arial"/>
                <w:sz w:val="10"/>
                <w:szCs w:val="10"/>
                <w:color w:val="auto"/>
              </w:rPr>
              <w:t>60.00</w:t>
            </w:r>
          </w:p>
        </w:tc>
        <w:tc>
          <w:tcPr>
            <w:tcW w:w="80" w:type="dxa"/>
            <w:vAlign w:val="bottom"/>
          </w:tcPr>
          <w:p>
            <w:pPr>
              <w:spacing w:after="0"/>
              <w:rPr>
                <w:sz w:val="12"/>
                <w:szCs w:val="12"/>
                <w:color w:val="auto"/>
              </w:rPr>
            </w:pPr>
          </w:p>
        </w:tc>
      </w:tr>
      <w:tr>
        <w:trPr>
          <w:trHeight w:val="160"/>
        </w:trPr>
        <w:tc>
          <w:tcPr>
            <w:tcW w:w="248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Veena M. Lakkundi</w:t>
            </w:r>
          </w:p>
        </w:tc>
        <w:tc>
          <w:tcPr>
            <w:tcW w:w="14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60.00</w:t>
            </w:r>
          </w:p>
        </w:tc>
        <w:tc>
          <w:tcPr>
            <w:tcW w:w="8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191"/>
              <w:spacing w:after="0"/>
              <w:rPr>
                <w:sz w:val="20"/>
                <w:szCs w:val="20"/>
                <w:color w:val="auto"/>
              </w:rPr>
            </w:pPr>
            <w:r>
              <w:rPr>
                <w:rFonts w:ascii="Arial" w:cs="Arial" w:eastAsia="Arial" w:hAnsi="Arial"/>
                <w:sz w:val="10"/>
                <w:szCs w:val="10"/>
                <w:color w:val="auto"/>
              </w:rPr>
              <w:t>330,000</w:t>
            </w:r>
          </w:p>
        </w:tc>
        <w:tc>
          <w:tcPr>
            <w:tcW w:w="80" w:type="dxa"/>
            <w:vAlign w:val="bottom"/>
            <w:shd w:val="clear" w:color="auto" w:fill="DBDBDB"/>
          </w:tcPr>
          <w:p>
            <w:pPr>
              <w:spacing w:after="0"/>
              <w:rPr>
                <w:sz w:val="13"/>
                <w:szCs w:val="13"/>
                <w:color w:val="auto"/>
              </w:rPr>
            </w:pPr>
          </w:p>
        </w:tc>
        <w:tc>
          <w:tcPr>
            <w:tcW w:w="1540" w:type="dxa"/>
            <w:vAlign w:val="bottom"/>
            <w:shd w:val="clear" w:color="auto" w:fill="DBDBDB"/>
          </w:tcPr>
          <w:p>
            <w:pPr>
              <w:jc w:val="right"/>
              <w:ind w:right="412"/>
              <w:spacing w:after="0"/>
              <w:rPr>
                <w:sz w:val="20"/>
                <w:szCs w:val="20"/>
                <w:color w:val="auto"/>
              </w:rPr>
            </w:pPr>
            <w:r>
              <w:rPr>
                <w:rFonts w:ascii="Arial" w:cs="Arial" w:eastAsia="Arial" w:hAnsi="Arial"/>
                <w:sz w:val="10"/>
                <w:szCs w:val="10"/>
                <w:color w:val="auto"/>
              </w:rPr>
              <w:t>58.25</w:t>
            </w:r>
          </w:p>
        </w:tc>
        <w:tc>
          <w:tcPr>
            <w:tcW w:w="80" w:type="dxa"/>
            <w:vAlign w:val="bottom"/>
            <w:shd w:val="clear" w:color="auto" w:fill="DBDBDB"/>
          </w:tcPr>
          <w:p>
            <w:pPr>
              <w:spacing w:after="0"/>
              <w:rPr>
                <w:sz w:val="13"/>
                <w:szCs w:val="13"/>
                <w:color w:val="auto"/>
              </w:rPr>
            </w:pPr>
          </w:p>
        </w:tc>
        <w:tc>
          <w:tcPr>
            <w:tcW w:w="1580" w:type="dxa"/>
            <w:vAlign w:val="bottom"/>
            <w:shd w:val="clear" w:color="auto" w:fill="DBDBDB"/>
          </w:tcPr>
          <w:p>
            <w:pPr>
              <w:jc w:val="right"/>
              <w:ind w:right="332"/>
              <w:spacing w:after="0"/>
              <w:rPr>
                <w:sz w:val="20"/>
                <w:szCs w:val="20"/>
                <w:color w:val="auto"/>
              </w:rPr>
            </w:pPr>
            <w:r>
              <w:rPr>
                <w:rFonts w:ascii="Arial" w:cs="Arial" w:eastAsia="Arial" w:hAnsi="Arial"/>
                <w:sz w:val="10"/>
                <w:szCs w:val="10"/>
                <w:color w:val="auto"/>
              </w:rPr>
              <w:t>192,225</w:t>
            </w:r>
          </w:p>
        </w:tc>
        <w:tc>
          <w:tcPr>
            <w:tcW w:w="80" w:type="dxa"/>
            <w:vAlign w:val="bottom"/>
            <w:shd w:val="clear" w:color="auto" w:fill="DBDBDB"/>
          </w:tcPr>
          <w:p>
            <w:pPr>
              <w:spacing w:after="0"/>
              <w:rPr>
                <w:sz w:val="13"/>
                <w:szCs w:val="13"/>
                <w:color w:val="auto"/>
              </w:rPr>
            </w:pPr>
          </w:p>
        </w:tc>
        <w:tc>
          <w:tcPr>
            <w:tcW w:w="144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34.95</w:t>
            </w:r>
          </w:p>
        </w:tc>
        <w:tc>
          <w:tcPr>
            <w:tcW w:w="80" w:type="dxa"/>
            <w:vAlign w:val="bottom"/>
            <w:shd w:val="clear" w:color="auto" w:fill="DBDBDB"/>
          </w:tcPr>
          <w:p>
            <w:pPr>
              <w:spacing w:after="0"/>
              <w:rPr>
                <w:sz w:val="13"/>
                <w:szCs w:val="13"/>
                <w:color w:val="auto"/>
              </w:rPr>
            </w:pPr>
          </w:p>
        </w:tc>
      </w:tr>
      <w:tr>
        <w:trPr>
          <w:trHeight w:val="146"/>
        </w:trPr>
        <w:tc>
          <w:tcPr>
            <w:tcW w:w="2480" w:type="dxa"/>
            <w:vAlign w:val="bottom"/>
            <w:gridSpan w:val="2"/>
          </w:tcPr>
          <w:p>
            <w:pPr>
              <w:spacing w:after="0"/>
              <w:rPr>
                <w:sz w:val="20"/>
                <w:szCs w:val="20"/>
                <w:color w:val="auto"/>
              </w:rPr>
            </w:pPr>
            <w:r>
              <w:rPr>
                <w:rFonts w:ascii="Arial" w:cs="Arial" w:eastAsia="Arial" w:hAnsi="Arial"/>
                <w:sz w:val="10"/>
                <w:szCs w:val="10"/>
                <w:color w:val="auto"/>
              </w:rPr>
              <w:t>Brent C.Jewell</w:t>
            </w:r>
          </w:p>
        </w:tc>
        <w:tc>
          <w:tcPr>
            <w:tcW w:w="1420" w:type="dxa"/>
            <w:vAlign w:val="bottom"/>
          </w:tcPr>
          <w:p>
            <w:pPr>
              <w:jc w:val="right"/>
              <w:ind w:right="92"/>
              <w:spacing w:after="0"/>
              <w:rPr>
                <w:sz w:val="20"/>
                <w:szCs w:val="20"/>
                <w:color w:val="auto"/>
              </w:rPr>
            </w:pPr>
            <w:r>
              <w:rPr>
                <w:rFonts w:ascii="Arial" w:cs="Arial" w:eastAsia="Arial" w:hAnsi="Arial"/>
                <w:sz w:val="10"/>
                <w:szCs w:val="10"/>
                <w:color w:val="auto"/>
              </w:rPr>
              <w:t>60.00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191"/>
              <w:spacing w:after="0"/>
              <w:rPr>
                <w:sz w:val="20"/>
                <w:szCs w:val="20"/>
                <w:color w:val="auto"/>
              </w:rPr>
            </w:pPr>
            <w:r>
              <w:rPr>
                <w:rFonts w:ascii="Arial" w:cs="Arial" w:eastAsia="Arial" w:hAnsi="Arial"/>
                <w:sz w:val="10"/>
                <w:szCs w:val="10"/>
                <w:color w:val="auto"/>
              </w:rPr>
              <w:t>277,800</w:t>
            </w:r>
          </w:p>
        </w:tc>
        <w:tc>
          <w:tcPr>
            <w:tcW w:w="80" w:type="dxa"/>
            <w:vAlign w:val="bottom"/>
          </w:tcPr>
          <w:p>
            <w:pPr>
              <w:spacing w:after="0"/>
              <w:rPr>
                <w:sz w:val="12"/>
                <w:szCs w:val="12"/>
                <w:color w:val="auto"/>
              </w:rPr>
            </w:pPr>
          </w:p>
        </w:tc>
        <w:tc>
          <w:tcPr>
            <w:tcW w:w="1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1660" w:type="dxa"/>
            <w:vAlign w:val="bottom"/>
            <w:gridSpan w:val="2"/>
          </w:tcPr>
          <w:p>
            <w:pPr>
              <w:ind w:left="660"/>
              <w:spacing w:after="0"/>
              <w:rPr>
                <w:sz w:val="20"/>
                <w:szCs w:val="20"/>
                <w:color w:val="auto"/>
              </w:rPr>
            </w:pPr>
            <w:r>
              <w:rPr>
                <w:rFonts w:ascii="Arial" w:cs="Arial" w:eastAsia="Arial" w:hAnsi="Arial"/>
                <w:sz w:val="10"/>
                <w:szCs w:val="10"/>
                <w:color w:val="auto"/>
              </w:rPr>
              <w:t>—</w:t>
            </w:r>
          </w:p>
        </w:tc>
        <w:tc>
          <w:tcPr>
            <w:tcW w:w="1520" w:type="dxa"/>
            <w:vAlign w:val="bottom"/>
            <w:gridSpan w:val="2"/>
          </w:tcPr>
          <w:p>
            <w:pPr>
              <w:ind w:left="680"/>
              <w:spacing w:after="0"/>
              <w:rPr>
                <w:sz w:val="20"/>
                <w:szCs w:val="20"/>
                <w:color w:val="auto"/>
              </w:rPr>
            </w:pPr>
            <w:r>
              <w:rPr>
                <w:rFonts w:ascii="Arial" w:cs="Arial" w:eastAsia="Arial" w:hAnsi="Arial"/>
                <w:sz w:val="10"/>
                <w:szCs w:val="10"/>
                <w:color w:val="auto"/>
              </w:rPr>
              <w:t>—</w:t>
            </w:r>
          </w:p>
        </w:tc>
      </w:tr>
      <w:tr>
        <w:trPr>
          <w:trHeight w:val="161"/>
        </w:trPr>
        <w:tc>
          <w:tcPr>
            <w:tcW w:w="248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Ty R. Silberhorn</w:t>
            </w:r>
            <w:r>
              <w:rPr>
                <w:rFonts w:ascii="Arial" w:cs="Arial" w:eastAsia="Arial" w:hAnsi="Arial"/>
                <w:sz w:val="6"/>
                <w:szCs w:val="6"/>
                <w:color w:val="auto"/>
              </w:rPr>
              <w:t>(2)</w:t>
            </w:r>
          </w:p>
        </w:tc>
        <w:tc>
          <w:tcPr>
            <w:tcW w:w="14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100.00</w:t>
            </w:r>
          </w:p>
        </w:tc>
        <w:tc>
          <w:tcPr>
            <w:tcW w:w="8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191"/>
              <w:spacing w:after="0"/>
              <w:rPr>
                <w:sz w:val="20"/>
                <w:szCs w:val="20"/>
                <w:color w:val="auto"/>
              </w:rPr>
            </w:pPr>
            <w:r>
              <w:rPr>
                <w:rFonts w:ascii="Arial" w:cs="Arial" w:eastAsia="Arial" w:hAnsi="Arial"/>
                <w:sz w:val="10"/>
                <w:szCs w:val="10"/>
                <w:color w:val="auto"/>
              </w:rPr>
              <w:t>932,000</w:t>
            </w:r>
          </w:p>
        </w:tc>
        <w:tc>
          <w:tcPr>
            <w:tcW w:w="80" w:type="dxa"/>
            <w:vAlign w:val="bottom"/>
            <w:shd w:val="clear" w:color="auto" w:fill="DBDBDB"/>
          </w:tcPr>
          <w:p>
            <w:pPr>
              <w:spacing w:after="0"/>
              <w:rPr>
                <w:sz w:val="13"/>
                <w:szCs w:val="13"/>
                <w:color w:val="auto"/>
              </w:rPr>
            </w:pPr>
          </w:p>
        </w:tc>
        <w:tc>
          <w:tcPr>
            <w:tcW w:w="1540" w:type="dxa"/>
            <w:vAlign w:val="bottom"/>
            <w:shd w:val="clear" w:color="auto" w:fill="DBDBDB"/>
          </w:tcPr>
          <w:p>
            <w:pPr>
              <w:jc w:val="right"/>
              <w:ind w:right="412"/>
              <w:spacing w:after="0"/>
              <w:rPr>
                <w:sz w:val="20"/>
                <w:szCs w:val="20"/>
                <w:color w:val="auto"/>
              </w:rPr>
            </w:pPr>
            <w:r>
              <w:rPr>
                <w:rFonts w:ascii="Arial" w:cs="Arial" w:eastAsia="Arial" w:hAnsi="Arial"/>
                <w:sz w:val="10"/>
                <w:szCs w:val="10"/>
                <w:color w:val="auto"/>
              </w:rPr>
              <w:t>50.00</w:t>
            </w:r>
          </w:p>
        </w:tc>
        <w:tc>
          <w:tcPr>
            <w:tcW w:w="80" w:type="dxa"/>
            <w:vAlign w:val="bottom"/>
            <w:shd w:val="clear" w:color="auto" w:fill="DBDBDB"/>
          </w:tcPr>
          <w:p>
            <w:pPr>
              <w:spacing w:after="0"/>
              <w:rPr>
                <w:sz w:val="13"/>
                <w:szCs w:val="13"/>
                <w:color w:val="auto"/>
              </w:rPr>
            </w:pPr>
          </w:p>
        </w:tc>
        <w:tc>
          <w:tcPr>
            <w:tcW w:w="1580" w:type="dxa"/>
            <w:vAlign w:val="bottom"/>
            <w:shd w:val="clear" w:color="auto" w:fill="DBDBDB"/>
          </w:tcPr>
          <w:p>
            <w:pPr>
              <w:jc w:val="right"/>
              <w:ind w:right="332"/>
              <w:spacing w:after="0"/>
              <w:rPr>
                <w:sz w:val="20"/>
                <w:szCs w:val="20"/>
                <w:color w:val="auto"/>
              </w:rPr>
            </w:pPr>
            <w:r>
              <w:rPr>
                <w:rFonts w:ascii="Arial" w:cs="Arial" w:eastAsia="Arial" w:hAnsi="Arial"/>
                <w:sz w:val="10"/>
                <w:szCs w:val="10"/>
                <w:color w:val="auto"/>
              </w:rPr>
              <w:t>466,000</w:t>
            </w:r>
          </w:p>
        </w:tc>
        <w:tc>
          <w:tcPr>
            <w:tcW w:w="80" w:type="dxa"/>
            <w:vAlign w:val="bottom"/>
            <w:shd w:val="clear" w:color="auto" w:fill="DBDBDB"/>
          </w:tcPr>
          <w:p>
            <w:pPr>
              <w:spacing w:after="0"/>
              <w:rPr>
                <w:sz w:val="13"/>
                <w:szCs w:val="13"/>
                <w:color w:val="auto"/>
              </w:rPr>
            </w:pPr>
          </w:p>
        </w:tc>
        <w:tc>
          <w:tcPr>
            <w:tcW w:w="144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50.00</w:t>
            </w:r>
          </w:p>
        </w:tc>
        <w:tc>
          <w:tcPr>
            <w:tcW w:w="80" w:type="dxa"/>
            <w:vAlign w:val="bottom"/>
          </w:tcPr>
          <w:p>
            <w:pPr>
              <w:spacing w:after="0"/>
              <w:rPr>
                <w:sz w:val="13"/>
                <w:szCs w:val="13"/>
                <w:color w:val="auto"/>
              </w:rPr>
            </w:pPr>
          </w:p>
        </w:tc>
      </w:tr>
      <w:tr>
        <w:trPr>
          <w:trHeight w:val="138"/>
        </w:trPr>
        <w:tc>
          <w:tcPr>
            <w:tcW w:w="2480" w:type="dxa"/>
            <w:vAlign w:val="bottom"/>
            <w:gridSpan w:val="2"/>
          </w:tcPr>
          <w:p>
            <w:pPr>
              <w:spacing w:after="0"/>
              <w:rPr>
                <w:sz w:val="20"/>
                <w:szCs w:val="20"/>
                <w:color w:val="auto"/>
              </w:rPr>
            </w:pPr>
            <w:r>
              <w:rPr>
                <w:rFonts w:ascii="Arial" w:cs="Arial" w:eastAsia="Arial" w:hAnsi="Arial"/>
                <w:sz w:val="10"/>
                <w:szCs w:val="10"/>
                <w:color w:val="auto"/>
              </w:rPr>
              <w:t>Matthew J. Osberg</w:t>
            </w:r>
            <w:r>
              <w:rPr>
                <w:rFonts w:ascii="Arial" w:cs="Arial" w:eastAsia="Arial" w:hAnsi="Arial"/>
                <w:sz w:val="6"/>
                <w:szCs w:val="6"/>
                <w:color w:val="auto"/>
              </w:rPr>
              <w:t>(3)</w:t>
            </w:r>
          </w:p>
        </w:tc>
        <w:tc>
          <w:tcPr>
            <w:tcW w:w="1420" w:type="dxa"/>
            <w:vAlign w:val="bottom"/>
          </w:tcPr>
          <w:p>
            <w:pPr>
              <w:jc w:val="right"/>
              <w:ind w:right="92"/>
              <w:spacing w:after="0"/>
              <w:rPr>
                <w:sz w:val="20"/>
                <w:szCs w:val="20"/>
                <w:color w:val="auto"/>
              </w:rPr>
            </w:pPr>
            <w:r>
              <w:rPr>
                <w:rFonts w:ascii="Arial" w:cs="Arial" w:eastAsia="Arial" w:hAnsi="Arial"/>
                <w:sz w:val="10"/>
                <w:szCs w:val="10"/>
                <w:color w:val="auto"/>
              </w:rPr>
              <w:t>75.00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191"/>
              <w:spacing w:after="0"/>
              <w:rPr>
                <w:sz w:val="20"/>
                <w:szCs w:val="20"/>
                <w:color w:val="auto"/>
              </w:rPr>
            </w:pPr>
            <w:r>
              <w:rPr>
                <w:rFonts w:ascii="Arial" w:cs="Arial" w:eastAsia="Arial" w:hAnsi="Arial"/>
                <w:sz w:val="10"/>
                <w:szCs w:val="10"/>
                <w:color w:val="auto"/>
              </w:rPr>
              <w:t>504,000</w:t>
            </w:r>
          </w:p>
        </w:tc>
        <w:tc>
          <w:tcPr>
            <w:tcW w:w="80" w:type="dxa"/>
            <w:vAlign w:val="bottom"/>
          </w:tcPr>
          <w:p>
            <w:pPr>
              <w:spacing w:after="0"/>
              <w:rPr>
                <w:sz w:val="12"/>
                <w:szCs w:val="12"/>
                <w:color w:val="auto"/>
              </w:rPr>
            </w:pPr>
          </w:p>
        </w:tc>
        <w:tc>
          <w:tcPr>
            <w:tcW w:w="1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1660" w:type="dxa"/>
            <w:vAlign w:val="bottom"/>
            <w:gridSpan w:val="2"/>
          </w:tcPr>
          <w:p>
            <w:pPr>
              <w:ind w:left="660"/>
              <w:spacing w:after="0"/>
              <w:rPr>
                <w:sz w:val="20"/>
                <w:szCs w:val="20"/>
                <w:color w:val="auto"/>
              </w:rPr>
            </w:pPr>
            <w:r>
              <w:rPr>
                <w:rFonts w:ascii="Arial" w:cs="Arial" w:eastAsia="Arial" w:hAnsi="Arial"/>
                <w:sz w:val="10"/>
                <w:szCs w:val="10"/>
                <w:color w:val="auto"/>
              </w:rPr>
              <w:t>—</w:t>
            </w:r>
          </w:p>
        </w:tc>
        <w:tc>
          <w:tcPr>
            <w:tcW w:w="1520" w:type="dxa"/>
            <w:vAlign w:val="bottom"/>
            <w:gridSpan w:val="2"/>
          </w:tcPr>
          <w:p>
            <w:pPr>
              <w:ind w:left="680"/>
              <w:spacing w:after="0"/>
              <w:rPr>
                <w:sz w:val="20"/>
                <w:szCs w:val="20"/>
                <w:color w:val="auto"/>
              </w:rPr>
            </w:pPr>
            <w:r>
              <w:rPr>
                <w:rFonts w:ascii="Arial" w:cs="Arial" w:eastAsia="Arial" w:hAnsi="Arial"/>
                <w:sz w:val="10"/>
                <w:szCs w:val="10"/>
                <w:color w:val="auto"/>
              </w:rPr>
              <w:t>—</w:t>
            </w:r>
          </w:p>
        </w:tc>
      </w:tr>
    </w:tbl>
    <w:p>
      <w:pPr>
        <w:spacing w:after="0" w:line="142"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328" w:hanging="328"/>
        <w:spacing w:after="0" w:line="286" w:lineRule="auto"/>
        <w:tabs>
          <w:tab w:leader="none" w:pos="322"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connection with Mr. T. Johnson's reassignment to the position of President, Architectural Metals Segment, effective August 7, 2025, the Company established a minimum short-term cash incentive award of 100% of target for fiscal 2026 and fiscal 2027.</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during fiscal 2026.</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during fiscal 2026.</w:t>
      </w: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auto"/>
        </w:rPr>
        <w:t>Nolan Short-Term Cash Incentive Plan</w:t>
      </w:r>
      <w:r>
        <w:rPr>
          <w:rFonts w:ascii="Arial" w:cs="Arial" w:eastAsia="Arial" w:hAnsi="Arial"/>
          <w:sz w:val="12"/>
          <w:szCs w:val="12"/>
          <w:color w:val="auto"/>
        </w:rPr>
        <w:t>. The Board approved four equally weighted objectives for Mr. Nolan's short-term cash incentive plan, which will be paid out on the earlier of the appointment of a successor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CEO or October 31, 2026, the end of the Term for the CEO Offer Letter. In sum, the objectives include:</w:t>
      </w:r>
    </w:p>
    <w:p>
      <w:pPr>
        <w:spacing w:after="0" w:line="138" w:lineRule="exact"/>
        <w:rPr>
          <w:sz w:val="20"/>
          <w:szCs w:val="20"/>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Engagement with the Board and Executive Committee to set a new vision, strategy and financial targets for the Company;</w:t>
      </w:r>
    </w:p>
    <w:p>
      <w:pPr>
        <w:spacing w:after="0" w:line="78"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42"/>
        </w:numPr>
        <w:rPr>
          <w:rFonts w:ascii="Arial" w:cs="Arial" w:eastAsia="Arial" w:hAnsi="Arial"/>
          <w:sz w:val="12"/>
          <w:szCs w:val="12"/>
          <w:color w:val="auto"/>
        </w:rPr>
      </w:pPr>
      <w:r>
        <w:rPr>
          <w:rFonts w:ascii="Arial" w:cs="Arial" w:eastAsia="Arial" w:hAnsi="Arial"/>
          <w:sz w:val="12"/>
          <w:szCs w:val="12"/>
          <w:color w:val="auto"/>
        </w:rPr>
        <w:t>Growth: Establish a framework for customer focus to accelerate near term organic growth. Grow faster than the market, utilizing FMI benchmark for Architectural Segments, and 7% for Performance Surfaces;</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People: Fill key positions and work with the Board to evaluate potential internal candidates for CEO;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Strengthen the Core: Drive alignment and efficiency with corporate functions to deliver cost savings.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Like the short-term incentive plan for the Other Named Executive Officers, the target payout is equal to 100% of base salary actually paid during the Term, with an actual award between 0% to 200% of base salary.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actual award is subject to Board or Compensation Committee discretion.</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u w:val="single" w:color="auto"/>
          <w:color w:val="auto"/>
        </w:rPr>
        <w:t>Long-Term Incentive Compensation</w:t>
      </w:r>
      <w:r>
        <w:rPr>
          <w:rFonts w:ascii="Arial" w:cs="Arial" w:eastAsia="Arial" w:hAnsi="Arial"/>
          <w:sz w:val="12"/>
          <w:szCs w:val="12"/>
          <w:color w:val="auto"/>
        </w:rPr>
        <w:t>. Our long-term incentive program is designed to align the interests of executives with shareholders and to focus executives on the achievement of long-term sustained</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entrepreneurship, and delivery of quality products and services, while creating appropriate retention incentives through the use of multi-year vesting schedules.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fiscal 2026, our long-term incentive program for our Named Executive Officers (other than Mr. Silberhorn, our former Chief Executive Officer and Mr. Nolan, our current Chief Executive Officer) was comprised of 50% time-based restricted stock awards and 50% performance awards with a three-year performance period, each described in more detail below. Mr. Silberhorn’s, our former Chief Executive Officer, long-term incentive award in fiscal 2026 consisted of 40% time-based restricted stock and 60% as a performance award, of which 100% vesting on the time-based restricted stock accelerated at his time of separation, and the performance award was forfeited. Mr. Nolan received a Service Award pursuant to the CEO Offer Letter, and he did not participate in our long-term incentive program in fiscal 2026.</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Dividends or other distributions (whether cash, stock or otherwise) with respect to the awards will accrue during the three-year vesting or other performance period and will be paid only on the shares earned at the end of the period when shares are issued.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u w:val="single" w:color="auto"/>
          <w:color w:val="auto"/>
        </w:rPr>
        <w:t>Restricted Stock Awards</w:t>
      </w:r>
      <w:r>
        <w:rPr>
          <w:rFonts w:ascii="Arial" w:cs="Arial" w:eastAsia="Arial" w:hAnsi="Arial"/>
          <w:sz w:val="12"/>
          <w:szCs w:val="12"/>
          <w:color w:val="auto"/>
        </w:rPr>
        <w:t>. Each year, the Compensation Committee approves a time-based restricted stock award for each executive with a preliminary target fixed dollar value based on a percentage of base</w:t>
      </w:r>
      <w:r>
        <w:rPr>
          <w:rFonts w:ascii="Arial" w:cs="Arial" w:eastAsia="Arial" w:hAnsi="Arial"/>
          <w:sz w:val="12"/>
          <w:szCs w:val="12"/>
          <w:i w:val="1"/>
          <w:iCs w:val="1"/>
          <w:color w:val="auto"/>
        </w:rPr>
        <w:t xml:space="preserve"> </w:t>
      </w:r>
      <w:r>
        <w:rPr>
          <w:rFonts w:ascii="Arial" w:cs="Arial" w:eastAsia="Arial" w:hAnsi="Arial"/>
          <w:sz w:val="12"/>
          <w:szCs w:val="12"/>
          <w:color w:val="auto"/>
        </w:rPr>
        <w:t>salary, after reviewing long-term incentives for comparable roles at peer companies, and based on data provided by the independent compensation consultant. For our Chief Executive Officer, the Committee determines the award’s value after considering the results of our Chief Executive Officer’s most recent annual performance evaluation. For our Other Named Executive Officers, our Chief Executive Officer recommends to the Committee increases or decreases in the award’s value based on the executive’s contributions to the Company’s performance, future leadership potential, and subjective evaluation of their individual performance for the just completed fiscal year.</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Restricted stock awards are granted under the 2019 Stock Incentive Plan, and they generally vest in three equal annual installments commencing on April 30 of the year following the date of the award. Upon issuance of the restricted stock, each holder is entitled to the rights of a shareholder, including the right to vote the shares of restricted stock. Restricted stock awards issued pursuant to the 2019 Stock Incentive Plan accrue dividends during the vesting period and be paid only if the restricted stock vests. The following table summarizes the restricted stock awards granted to each of the Named Executive Officers in fiscal 2026.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50" w:name="page51"/>
    <w:bookmarkEnd w:id="50"/>
    <w:p>
      <w:pPr>
        <w:jc w:val="center"/>
        <w:ind w:right="460"/>
        <w:spacing w:after="0"/>
        <w:rPr>
          <w:sz w:val="20"/>
          <w:szCs w:val="20"/>
          <w:color w:val="auto"/>
        </w:rPr>
      </w:pPr>
      <w:r>
        <w:rPr>
          <w:rFonts w:ascii="Arial" w:cs="Arial" w:eastAsia="Arial" w:hAnsi="Arial"/>
          <w:sz w:val="12"/>
          <w:szCs w:val="12"/>
          <w:b w:val="1"/>
          <w:bCs w:val="1"/>
          <w:color w:val="auto"/>
        </w:rPr>
        <w:t>Fiscal 2026 Restricted Stock Awards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2"/>
          </w:tcPr>
          <w:p>
            <w:pPr>
              <w:ind w:left="920"/>
              <w:spacing w:after="0"/>
              <w:rPr>
                <w:sz w:val="20"/>
                <w:szCs w:val="20"/>
                <w:color w:val="auto"/>
              </w:rPr>
            </w:pPr>
            <w:r>
              <w:rPr>
                <w:rFonts w:ascii="Arial" w:cs="Arial" w:eastAsia="Arial" w:hAnsi="Arial"/>
                <w:sz w:val="12"/>
                <w:szCs w:val="12"/>
                <w:b w:val="1"/>
                <w:bCs w:val="1"/>
                <w:color w:val="05445E"/>
              </w:rPr>
              <w:t>Restricted Stock Awarded</w:t>
            </w:r>
          </w:p>
        </w:tc>
        <w:tc>
          <w:tcPr>
            <w:tcW w:w="3360" w:type="dxa"/>
            <w:vAlign w:val="bottom"/>
            <w:tcBorders>
              <w:top w:val="single" w:sz="8" w:color="auto"/>
            </w:tcBorders>
          </w:tcPr>
          <w:p>
            <w:pPr>
              <w:jc w:val="right"/>
              <w:ind w:right="1240"/>
              <w:spacing w:after="0"/>
              <w:rPr>
                <w:sz w:val="20"/>
                <w:szCs w:val="20"/>
                <w:color w:val="auto"/>
              </w:rPr>
            </w:pPr>
            <w:r>
              <w:rPr>
                <w:rFonts w:ascii="Arial" w:cs="Arial" w:eastAsia="Arial" w:hAnsi="Arial"/>
                <w:sz w:val="12"/>
                <w:szCs w:val="12"/>
                <w:b w:val="1"/>
                <w:bCs w:val="1"/>
                <w:color w:val="05445E"/>
              </w:rPr>
              <w:t>Value of Award</w:t>
            </w:r>
          </w:p>
        </w:tc>
      </w:tr>
      <w:tr>
        <w:trPr>
          <w:trHeight w:val="17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05445E"/>
              </w:rPr>
              <w:t>Name</w:t>
            </w:r>
          </w:p>
        </w:tc>
        <w:tc>
          <w:tcPr>
            <w:tcW w:w="60" w:type="dxa"/>
            <w:vAlign w:val="bottom"/>
            <w:tcBorders>
              <w:bottom w:val="single" w:sz="8" w:color="D9D9D9"/>
            </w:tcBorders>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100" w:type="dxa"/>
            <w:vAlign w:val="bottom"/>
            <w:tcBorders>
              <w:bottom w:val="single" w:sz="8" w:color="D9D9D9"/>
            </w:tcBorders>
          </w:tcPr>
          <w:p>
            <w:pPr>
              <w:spacing w:after="0"/>
              <w:rPr>
                <w:sz w:val="15"/>
                <w:szCs w:val="15"/>
                <w:color w:val="auto"/>
              </w:rPr>
            </w:pPr>
          </w:p>
        </w:tc>
        <w:tc>
          <w:tcPr>
            <w:tcW w:w="33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05445E"/>
                <w:w w:val="89"/>
              </w:rPr>
              <w:t>($)</w:t>
            </w:r>
            <w:r>
              <w:rPr>
                <w:rFonts w:ascii="Arial" w:cs="Arial" w:eastAsia="Arial" w:hAnsi="Arial"/>
                <w:sz w:val="15"/>
                <w:szCs w:val="15"/>
                <w:b w:val="1"/>
                <w:bCs w:val="1"/>
                <w:color w:val="05445E"/>
                <w:w w:val="89"/>
                <w:vertAlign w:val="superscript"/>
              </w:rPr>
              <w:t>(1)</w:t>
            </w:r>
          </w:p>
        </w:tc>
      </w:tr>
      <w:tr>
        <w:trPr>
          <w:trHeight w:val="169"/>
        </w:trPr>
        <w:tc>
          <w:tcPr>
            <w:tcW w:w="3860" w:type="dxa"/>
            <w:vAlign w:val="bottom"/>
            <w:gridSpan w:val="2"/>
            <w:shd w:val="clear" w:color="auto" w:fill="D9D9D9"/>
          </w:tcPr>
          <w:p>
            <w:pPr>
              <w:ind w:left="20"/>
              <w:spacing w:after="0" w:line="169" w:lineRule="exact"/>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(2)</w:t>
            </w:r>
          </w:p>
        </w:tc>
        <w:tc>
          <w:tcPr>
            <w:tcW w:w="33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7"/>
              </w:rPr>
              <w:t>49,240</w:t>
            </w:r>
          </w:p>
        </w:tc>
        <w:tc>
          <w:tcPr>
            <w:tcW w:w="100" w:type="dxa"/>
            <w:vAlign w:val="bottom"/>
            <w:shd w:val="clear" w:color="auto" w:fill="D9D9D9"/>
          </w:tcPr>
          <w:p>
            <w:pPr>
              <w:spacing w:after="0"/>
              <w:rPr>
                <w:sz w:val="14"/>
                <w:szCs w:val="14"/>
                <w:color w:val="auto"/>
              </w:rPr>
            </w:pPr>
          </w:p>
        </w:tc>
        <w:tc>
          <w:tcPr>
            <w:tcW w:w="336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7"/>
              </w:rPr>
              <w:t>1,749,990</w:t>
            </w:r>
          </w:p>
        </w:tc>
      </w:tr>
      <w:tr>
        <w:trPr>
          <w:trHeight w:val="180"/>
        </w:trPr>
        <w:tc>
          <w:tcPr>
            <w:tcW w:w="3860" w:type="dxa"/>
            <w:vAlign w:val="bottom"/>
            <w:gridSpan w:val="2"/>
          </w:tcPr>
          <w:p>
            <w:pPr>
              <w:ind w:left="20"/>
              <w:spacing w:after="0"/>
              <w:rPr>
                <w:sz w:val="20"/>
                <w:szCs w:val="20"/>
                <w:color w:val="auto"/>
              </w:rPr>
            </w:pPr>
            <w:r>
              <w:rPr>
                <w:rFonts w:ascii="Arial" w:cs="Arial" w:eastAsia="Arial" w:hAnsi="Arial"/>
                <w:sz w:val="12"/>
                <w:szCs w:val="12"/>
                <w:color w:val="auto"/>
              </w:rPr>
              <w:t>Mark R. Augdahl</w:t>
            </w:r>
            <w:r>
              <w:rPr>
                <w:rFonts w:ascii="Arial" w:cs="Arial" w:eastAsia="Arial" w:hAnsi="Arial"/>
                <w:sz w:val="15"/>
                <w:szCs w:val="15"/>
                <w:color w:val="auto"/>
                <w:vertAlign w:val="superscript"/>
              </w:rPr>
              <w:t>(3)</w:t>
            </w:r>
          </w:p>
        </w:tc>
        <w:tc>
          <w:tcPr>
            <w:tcW w:w="3300" w:type="dxa"/>
            <w:vAlign w:val="bottom"/>
          </w:tcPr>
          <w:p>
            <w:pPr>
              <w:jc w:val="center"/>
              <w:spacing w:after="0"/>
              <w:rPr>
                <w:sz w:val="20"/>
                <w:szCs w:val="20"/>
                <w:color w:val="auto"/>
              </w:rPr>
            </w:pPr>
            <w:r>
              <w:rPr>
                <w:rFonts w:ascii="Arial" w:cs="Arial" w:eastAsia="Arial" w:hAnsi="Arial"/>
                <w:sz w:val="12"/>
                <w:szCs w:val="12"/>
                <w:color w:val="auto"/>
                <w:w w:val="97"/>
              </w:rPr>
              <w:t>22,830</w:t>
            </w:r>
          </w:p>
        </w:tc>
        <w:tc>
          <w:tcPr>
            <w:tcW w:w="100" w:type="dxa"/>
            <w:vAlign w:val="bottom"/>
          </w:tcPr>
          <w:p>
            <w:pPr>
              <w:spacing w:after="0"/>
              <w:rPr>
                <w:sz w:val="15"/>
                <w:szCs w:val="15"/>
                <w:color w:val="auto"/>
              </w:rPr>
            </w:pPr>
          </w:p>
        </w:tc>
        <w:tc>
          <w:tcPr>
            <w:tcW w:w="3360" w:type="dxa"/>
            <w:vAlign w:val="bottom"/>
          </w:tcPr>
          <w:p>
            <w:pPr>
              <w:jc w:val="right"/>
              <w:ind w:right="2140"/>
              <w:spacing w:after="0"/>
              <w:rPr>
                <w:sz w:val="20"/>
                <w:szCs w:val="20"/>
                <w:color w:val="auto"/>
              </w:rPr>
            </w:pPr>
            <w:r>
              <w:rPr>
                <w:rFonts w:ascii="Arial" w:cs="Arial" w:eastAsia="Arial" w:hAnsi="Arial"/>
                <w:sz w:val="12"/>
                <w:szCs w:val="12"/>
                <w:color w:val="auto"/>
              </w:rPr>
              <w:t>876,514</w:t>
            </w:r>
          </w:p>
        </w:tc>
      </w:tr>
      <w:tr>
        <w:trPr>
          <w:trHeight w:val="180"/>
        </w:trPr>
        <w:tc>
          <w:tcPr>
            <w:tcW w:w="386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Troy R. Johnson</w:t>
            </w:r>
            <w:r>
              <w:rPr>
                <w:rFonts w:ascii="Arial" w:cs="Arial" w:eastAsia="Arial" w:hAnsi="Arial"/>
                <w:sz w:val="15"/>
                <w:szCs w:val="15"/>
                <w:color w:val="auto"/>
                <w:vertAlign w:val="superscript"/>
              </w:rPr>
              <w:t>(4)</w:t>
            </w:r>
          </w:p>
        </w:tc>
        <w:tc>
          <w:tcPr>
            <w:tcW w:w="33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7"/>
              </w:rPr>
              <w:t>31,720</w:t>
            </w:r>
          </w:p>
        </w:tc>
        <w:tc>
          <w:tcPr>
            <w:tcW w:w="100" w:type="dxa"/>
            <w:vAlign w:val="bottom"/>
            <w:shd w:val="clear" w:color="auto" w:fill="D9D9D9"/>
          </w:tcPr>
          <w:p>
            <w:pPr>
              <w:spacing w:after="0"/>
              <w:rPr>
                <w:sz w:val="15"/>
                <w:szCs w:val="15"/>
                <w:color w:val="auto"/>
              </w:rPr>
            </w:pPr>
          </w:p>
        </w:tc>
        <w:tc>
          <w:tcPr>
            <w:tcW w:w="336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7"/>
              </w:rPr>
              <w:t>1,211,659</w:t>
            </w:r>
          </w:p>
        </w:tc>
      </w:tr>
      <w:tr>
        <w:trPr>
          <w:trHeight w:val="180"/>
        </w:trPr>
        <w:tc>
          <w:tcPr>
            <w:tcW w:w="3860" w:type="dxa"/>
            <w:vAlign w:val="bottom"/>
            <w:gridSpan w:val="2"/>
          </w:tcPr>
          <w:p>
            <w:pPr>
              <w:ind w:left="20"/>
              <w:spacing w:after="0"/>
              <w:rPr>
                <w:sz w:val="20"/>
                <w:szCs w:val="20"/>
                <w:color w:val="auto"/>
              </w:rPr>
            </w:pPr>
            <w:r>
              <w:rPr>
                <w:rFonts w:ascii="Arial" w:cs="Arial" w:eastAsia="Arial" w:hAnsi="Arial"/>
                <w:sz w:val="12"/>
                <w:szCs w:val="12"/>
                <w:color w:val="auto"/>
              </w:rPr>
              <w:t>Veena M. Lakkundi</w:t>
            </w:r>
            <w:r>
              <w:rPr>
                <w:rFonts w:ascii="Arial" w:cs="Arial" w:eastAsia="Arial" w:hAnsi="Arial"/>
                <w:sz w:val="15"/>
                <w:szCs w:val="15"/>
                <w:color w:val="auto"/>
                <w:vertAlign w:val="superscript"/>
              </w:rPr>
              <w:t>(5)</w:t>
            </w:r>
          </w:p>
        </w:tc>
        <w:tc>
          <w:tcPr>
            <w:tcW w:w="3300" w:type="dxa"/>
            <w:vAlign w:val="bottom"/>
          </w:tcPr>
          <w:p>
            <w:pPr>
              <w:jc w:val="center"/>
              <w:spacing w:after="0"/>
              <w:rPr>
                <w:sz w:val="20"/>
                <w:szCs w:val="20"/>
                <w:color w:val="auto"/>
              </w:rPr>
            </w:pPr>
            <w:r>
              <w:rPr>
                <w:rFonts w:ascii="Arial" w:cs="Arial" w:eastAsia="Arial" w:hAnsi="Arial"/>
                <w:sz w:val="12"/>
                <w:szCs w:val="12"/>
                <w:color w:val="auto"/>
                <w:w w:val="97"/>
              </w:rPr>
              <w:t>24,841</w:t>
            </w:r>
          </w:p>
        </w:tc>
        <w:tc>
          <w:tcPr>
            <w:tcW w:w="100" w:type="dxa"/>
            <w:vAlign w:val="bottom"/>
          </w:tcPr>
          <w:p>
            <w:pPr>
              <w:spacing w:after="0"/>
              <w:rPr>
                <w:sz w:val="15"/>
                <w:szCs w:val="15"/>
                <w:color w:val="auto"/>
              </w:rPr>
            </w:pPr>
          </w:p>
        </w:tc>
        <w:tc>
          <w:tcPr>
            <w:tcW w:w="3360" w:type="dxa"/>
            <w:vAlign w:val="bottom"/>
          </w:tcPr>
          <w:p>
            <w:pPr>
              <w:jc w:val="right"/>
              <w:ind w:right="2140"/>
              <w:spacing w:after="0"/>
              <w:rPr>
                <w:sz w:val="20"/>
                <w:szCs w:val="20"/>
                <w:color w:val="auto"/>
              </w:rPr>
            </w:pPr>
            <w:r>
              <w:rPr>
                <w:rFonts w:ascii="Arial" w:cs="Arial" w:eastAsia="Arial" w:hAnsi="Arial"/>
                <w:sz w:val="12"/>
                <w:szCs w:val="12"/>
                <w:color w:val="auto"/>
              </w:rPr>
              <w:t>962,996</w:t>
            </w:r>
          </w:p>
        </w:tc>
      </w:tr>
      <w:tr>
        <w:trPr>
          <w:trHeight w:val="180"/>
        </w:trPr>
        <w:tc>
          <w:tcPr>
            <w:tcW w:w="386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Brent C. Jewell</w:t>
            </w:r>
            <w:r>
              <w:rPr>
                <w:rFonts w:ascii="Arial" w:cs="Arial" w:eastAsia="Arial" w:hAnsi="Arial"/>
                <w:sz w:val="15"/>
                <w:szCs w:val="15"/>
                <w:color w:val="auto"/>
                <w:vertAlign w:val="superscript"/>
              </w:rPr>
              <w:t>(6)</w:t>
            </w:r>
          </w:p>
        </w:tc>
        <w:tc>
          <w:tcPr>
            <w:tcW w:w="33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7"/>
              </w:rPr>
              <w:t>22,973</w:t>
            </w:r>
          </w:p>
        </w:tc>
        <w:tc>
          <w:tcPr>
            <w:tcW w:w="100" w:type="dxa"/>
            <w:vAlign w:val="bottom"/>
            <w:shd w:val="clear" w:color="auto" w:fill="D9D9D9"/>
          </w:tcPr>
          <w:p>
            <w:pPr>
              <w:spacing w:after="0"/>
              <w:rPr>
                <w:sz w:val="15"/>
                <w:szCs w:val="15"/>
                <w:color w:val="auto"/>
              </w:rPr>
            </w:pPr>
          </w:p>
        </w:tc>
        <w:tc>
          <w:tcPr>
            <w:tcW w:w="3360" w:type="dxa"/>
            <w:vAlign w:val="bottom"/>
            <w:shd w:val="clear" w:color="auto" w:fill="D9D9D9"/>
          </w:tcPr>
          <w:p>
            <w:pPr>
              <w:jc w:val="right"/>
              <w:ind w:right="2140"/>
              <w:spacing w:after="0"/>
              <w:rPr>
                <w:sz w:val="20"/>
                <w:szCs w:val="20"/>
                <w:color w:val="auto"/>
              </w:rPr>
            </w:pPr>
            <w:r>
              <w:rPr>
                <w:rFonts w:ascii="Arial" w:cs="Arial" w:eastAsia="Arial" w:hAnsi="Arial"/>
                <w:sz w:val="12"/>
                <w:szCs w:val="12"/>
                <w:color w:val="auto"/>
              </w:rPr>
              <w:t>877,797</w:t>
            </w:r>
          </w:p>
        </w:tc>
      </w:tr>
      <w:tr>
        <w:trPr>
          <w:trHeight w:val="180"/>
        </w:trPr>
        <w:tc>
          <w:tcPr>
            <w:tcW w:w="3860" w:type="dxa"/>
            <w:vAlign w:val="bottom"/>
            <w:gridSpan w:val="2"/>
          </w:tcPr>
          <w:p>
            <w:pPr>
              <w:ind w:left="20"/>
              <w:spacing w:after="0"/>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(7)</w:t>
            </w:r>
          </w:p>
        </w:tc>
        <w:tc>
          <w:tcPr>
            <w:tcW w:w="3300" w:type="dxa"/>
            <w:vAlign w:val="bottom"/>
          </w:tcPr>
          <w:p>
            <w:pPr>
              <w:jc w:val="center"/>
              <w:spacing w:after="0"/>
              <w:rPr>
                <w:sz w:val="20"/>
                <w:szCs w:val="20"/>
                <w:color w:val="auto"/>
              </w:rPr>
            </w:pPr>
            <w:r>
              <w:rPr>
                <w:rFonts w:ascii="Arial" w:cs="Arial" w:eastAsia="Arial" w:hAnsi="Arial"/>
                <w:sz w:val="12"/>
                <w:szCs w:val="12"/>
                <w:color w:val="auto"/>
                <w:w w:val="97"/>
              </w:rPr>
              <w:t>28,608</w:t>
            </w:r>
          </w:p>
        </w:tc>
        <w:tc>
          <w:tcPr>
            <w:tcW w:w="100" w:type="dxa"/>
            <w:vAlign w:val="bottom"/>
          </w:tcPr>
          <w:p>
            <w:pPr>
              <w:spacing w:after="0"/>
              <w:rPr>
                <w:sz w:val="15"/>
                <w:szCs w:val="15"/>
                <w:color w:val="auto"/>
              </w:rPr>
            </w:pPr>
          </w:p>
        </w:tc>
        <w:tc>
          <w:tcPr>
            <w:tcW w:w="3360" w:type="dxa"/>
            <w:vAlign w:val="bottom"/>
          </w:tcPr>
          <w:p>
            <w:pPr>
              <w:jc w:val="center"/>
              <w:ind w:right="20"/>
              <w:spacing w:after="0"/>
              <w:rPr>
                <w:sz w:val="20"/>
                <w:szCs w:val="20"/>
                <w:color w:val="auto"/>
              </w:rPr>
            </w:pPr>
            <w:r>
              <w:rPr>
                <w:rFonts w:ascii="Arial" w:cs="Arial" w:eastAsia="Arial" w:hAnsi="Arial"/>
                <w:sz w:val="12"/>
                <w:szCs w:val="12"/>
                <w:color w:val="auto"/>
                <w:w w:val="97"/>
              </w:rPr>
              <w:t>1,304,811</w:t>
            </w:r>
          </w:p>
        </w:tc>
      </w:tr>
      <w:tr>
        <w:trPr>
          <w:trHeight w:val="180"/>
        </w:trPr>
        <w:tc>
          <w:tcPr>
            <w:tcW w:w="386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(8)</w:t>
            </w:r>
          </w:p>
        </w:tc>
        <w:tc>
          <w:tcPr>
            <w:tcW w:w="33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7"/>
              </w:rPr>
              <w:t>12,155</w:t>
            </w:r>
          </w:p>
        </w:tc>
        <w:tc>
          <w:tcPr>
            <w:tcW w:w="100" w:type="dxa"/>
            <w:vAlign w:val="bottom"/>
            <w:shd w:val="clear" w:color="auto" w:fill="D9D9D9"/>
          </w:tcPr>
          <w:p>
            <w:pPr>
              <w:spacing w:after="0"/>
              <w:rPr>
                <w:sz w:val="15"/>
                <w:szCs w:val="15"/>
                <w:color w:val="auto"/>
              </w:rPr>
            </w:pPr>
          </w:p>
        </w:tc>
        <w:tc>
          <w:tcPr>
            <w:tcW w:w="3360" w:type="dxa"/>
            <w:vAlign w:val="bottom"/>
            <w:shd w:val="clear" w:color="auto" w:fill="D9D9D9"/>
          </w:tcPr>
          <w:p>
            <w:pPr>
              <w:jc w:val="right"/>
              <w:ind w:right="2140"/>
              <w:spacing w:after="0"/>
              <w:rPr>
                <w:sz w:val="20"/>
                <w:szCs w:val="20"/>
                <w:color w:val="auto"/>
              </w:rPr>
            </w:pPr>
            <w:r>
              <w:rPr>
                <w:rFonts w:ascii="Arial" w:cs="Arial" w:eastAsia="Arial" w:hAnsi="Arial"/>
                <w:sz w:val="12"/>
                <w:szCs w:val="12"/>
                <w:color w:val="auto"/>
              </w:rPr>
              <w:t>554,390</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400" w:right="20" w:hanging="392"/>
        <w:spacing w:after="0" w:line="286" w:lineRule="auto"/>
        <w:tabs>
          <w:tab w:leader="none" w:pos="392"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value of the award was calculated by multiplying the number of shares of restricted stock awarded by the closing price of our common stock on the Nasdaq Global Select Market on the date of grant. The annual long-term incentive awards were made on April 22, 2025, for the Named Executive Officers.</w:t>
      </w:r>
    </w:p>
    <w:p>
      <w:pPr>
        <w:spacing w:after="0" w:line="31" w:lineRule="exact"/>
        <w:rPr>
          <w:rFonts w:ascii="Arial" w:cs="Arial" w:eastAsia="Arial" w:hAnsi="Arial"/>
          <w:sz w:val="12"/>
          <w:szCs w:val="12"/>
          <w:color w:val="auto"/>
        </w:rPr>
      </w:pPr>
    </w:p>
    <w:p>
      <w:pPr>
        <w:jc w:val="both"/>
        <w:ind w:left="400" w:hanging="392"/>
        <w:spacing w:after="0" w:line="257" w:lineRule="auto"/>
        <w:tabs>
          <w:tab w:leader="none" w:pos="392"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Nolan was appointed Chief Executive Officer of the Company effective as of the close of business on October 31, 2025, during fiscal 2026. The CEO Offer Letter provided for the grant to Mr. Nolan of a Service Award of 49,240 time-based restricted shares of the Company's stock valued at $1,749,990, based on the closing price on January 14, 2026. The Service Award is subject to Mr. Nolan's continued employment with the Company for the Term of the CEO Offer Letter, provided that Mr. Nolan's employment ends before the vesting date, the shares will vest as long as Mr. Nolan remains a member of the Board through the vesting date. The CEO Offer Letter further provides that the Service Award is subject to forfeiture upon voluntary or involuntary termination for cause, as defined in the Company's current standard form of restricted stock award agreement. Based on Mr. Nolan's election, 41,854 were granted as deferred restricted stock units and 7,386 were granted as an unvested restricted stock award.</w:t>
      </w:r>
    </w:p>
    <w:p>
      <w:pPr>
        <w:spacing w:after="0" w:line="49" w:lineRule="exact"/>
        <w:rPr>
          <w:rFonts w:ascii="Arial" w:cs="Arial" w:eastAsia="Arial" w:hAnsi="Arial"/>
          <w:sz w:val="12"/>
          <w:szCs w:val="12"/>
          <w:color w:val="auto"/>
        </w:rPr>
      </w:pPr>
    </w:p>
    <w:p>
      <w:pPr>
        <w:jc w:val="both"/>
        <w:ind w:left="400" w:hanging="392"/>
        <w:spacing w:after="0" w:line="259" w:lineRule="auto"/>
        <w:tabs>
          <w:tab w:leader="none" w:pos="392"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addition to his annual long-term incentive award described in footnote (1), in connection with the promotion of Mr. Augdahl to Executive Vice President and Chief Financial Officer, effective as of January 19, 2026, the Company granted him 18,960 restricted shares with a grant date fair value of $700,003. Assuming continued employment with the Company, 50% of the restricted shares will vest on each of the first and second anniversaries of Mr. Augdahl's promotion. If Mr. Augdahl's employment is terminated due to retirement or involuntary termination without cause prior to one year of service, Mr. Augdahl will be eligible to receive 50% of the initial grant immediately and the remainder will be forfeited. Between one year and two years of service, if Mr. Augdahl's employment is terminated due to retirement or involuntary termination, Mr. Augdahl will be eligible to receive the remainder of the award immediately;</w:t>
      </w:r>
    </w:p>
    <w:p>
      <w:pPr>
        <w:spacing w:after="0" w:line="47" w:lineRule="exact"/>
        <w:rPr>
          <w:rFonts w:ascii="Arial" w:cs="Arial" w:eastAsia="Arial" w:hAnsi="Arial"/>
          <w:sz w:val="12"/>
          <w:szCs w:val="12"/>
          <w:color w:val="auto"/>
        </w:rPr>
      </w:pPr>
    </w:p>
    <w:p>
      <w:pPr>
        <w:jc w:val="both"/>
        <w:ind w:left="400" w:hanging="392"/>
        <w:spacing w:after="0" w:line="257" w:lineRule="auto"/>
        <w:tabs>
          <w:tab w:leader="none" w:pos="392"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addition to his annual long-term incentive award described in footnote (1), in connection with the reassignment of Mr. T. Johnson to President, Architectural Metals Segment, effective August 7, 2025, the Company granted him 8,553 restricted shares effective October 17, 2025 with a grant date fair value of $325,014. Assuming continued employment with the Company 100% of the restricted shares will vest on the two-year anniversary of Mr. T. Johnson's appointment. The Company also granted him 16,882 restricted shares effective January 14, 2026 with a grant date fair value of $599,986. The Committee approved this award to support retention and leadership continuity during a period of executive transition. In making this award, the Committee considered the importance of retaining key segment leaders and the level of unvested and at-risk long-term incentive compensation outstanding. Assuming continued employment with the Company, 50% of the restricted shares will vest on each of the first and second anniversaries of the grant date.</w:t>
      </w:r>
    </w:p>
    <w:p>
      <w:pPr>
        <w:spacing w:after="0" w:line="49" w:lineRule="exact"/>
        <w:rPr>
          <w:rFonts w:ascii="Arial" w:cs="Arial" w:eastAsia="Arial" w:hAnsi="Arial"/>
          <w:sz w:val="12"/>
          <w:szCs w:val="12"/>
          <w:color w:val="auto"/>
        </w:rPr>
      </w:pPr>
    </w:p>
    <w:p>
      <w:pPr>
        <w:jc w:val="both"/>
        <w:ind w:left="400" w:hanging="392"/>
        <w:spacing w:after="0" w:line="268" w:lineRule="auto"/>
        <w:tabs>
          <w:tab w:leader="none" w:pos="392"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addition to her annual long-term incentive award described in footnote (1), the Company granted Ms. Lakkundi a retention award of 16,882 restricted shares effective January 14, 2026 with a grant date fair value of $599,986. The Committee approved this award to support retention and leadership continuity during a period of executive transition. In making this award, the Committee considered the importance of retaining key segment leaders and the level of unvested and at-risk long-term incentive</w:t>
      </w:r>
    </w:p>
    <w:p>
      <w:pPr>
        <w:spacing w:after="0" w:line="200" w:lineRule="exact"/>
        <w:rPr>
          <w:sz w:val="20"/>
          <w:szCs w:val="20"/>
          <w:color w:val="auto"/>
        </w:rPr>
      </w:pPr>
    </w:p>
    <w:p>
      <w:pPr>
        <w:spacing w:after="0" w:line="256"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33655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500" w:top="847" w:right="299" w:bottom="1440" w:gutter="0" w:footer="0" w:header="0"/>
        </w:sectPr>
      </w:pPr>
    </w:p>
    <w:bookmarkStart w:id="51" w:name="page52"/>
    <w:bookmarkEnd w:id="51"/>
    <w:p>
      <w:pPr>
        <w:ind w:left="600"/>
        <w:spacing w:after="0"/>
        <w:rPr>
          <w:sz w:val="20"/>
          <w:szCs w:val="20"/>
          <w:color w:val="auto"/>
        </w:rPr>
      </w:pPr>
      <w:r>
        <w:rPr>
          <w:rFonts w:ascii="Arial" w:cs="Arial" w:eastAsia="Arial" w:hAnsi="Arial"/>
          <w:sz w:val="12"/>
          <w:szCs w:val="12"/>
          <w:color w:val="auto"/>
        </w:rPr>
        <w:t>compensation outstanding. Assuming continued employment with the Company, 50% of the restricted shares will vest on each of the first and second anniversaries of the grant date.</w:t>
      </w:r>
    </w:p>
    <w:p>
      <w:pPr>
        <w:spacing w:after="0" w:line="78" w:lineRule="exact"/>
        <w:rPr>
          <w:sz w:val="20"/>
          <w:szCs w:val="20"/>
          <w:color w:val="auto"/>
        </w:rPr>
      </w:pPr>
    </w:p>
    <w:p>
      <w:pPr>
        <w:jc w:val="both"/>
        <w:ind w:left="600" w:hanging="392"/>
        <w:spacing w:after="0" w:line="262" w:lineRule="auto"/>
        <w:tabs>
          <w:tab w:leader="none" w:pos="592"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addition to his annual long-term incentive award described in footnote (1), the Company granted Mr. Jewell retention award of 16,882 restricted shares effective January 14, 2026 with a grant date fair value of $599,986. The Committee approved this award to support retention and leadership continuity during a period of executive transition. In making this award, the Committee considered the importance of retaining key segment leaders and the level of unvested and at-risk long-term incentive compensation outstanding. Assuming continued employment with the Company, 50% of the restricted shares will vest on each of the first and second anniversaries of the grant date.</w:t>
      </w:r>
    </w:p>
    <w:p>
      <w:pPr>
        <w:spacing w:after="0" w:line="45" w:lineRule="exact"/>
        <w:rPr>
          <w:rFonts w:ascii="Arial" w:cs="Arial" w:eastAsia="Arial" w:hAnsi="Arial"/>
          <w:sz w:val="12"/>
          <w:szCs w:val="12"/>
          <w:color w:val="auto"/>
        </w:rPr>
      </w:pPr>
    </w:p>
    <w:p>
      <w:pPr>
        <w:ind w:left="580" w:hanging="372"/>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during fiscal 2026, and vesting on these restricted shares was accelerated.</w:t>
      </w:r>
    </w:p>
    <w:p>
      <w:pPr>
        <w:spacing w:after="0" w:line="69" w:lineRule="exact"/>
        <w:rPr>
          <w:rFonts w:ascii="Arial" w:cs="Arial" w:eastAsia="Arial" w:hAnsi="Arial"/>
          <w:sz w:val="12"/>
          <w:szCs w:val="12"/>
          <w:color w:val="auto"/>
        </w:rPr>
      </w:pPr>
    </w:p>
    <w:p>
      <w:pPr>
        <w:ind w:left="580" w:hanging="372"/>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during fiscal 2026, and he forfeited the restricted shares.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i w:val="1"/>
          <w:iCs w:val="1"/>
          <w:u w:val="single" w:color="auto"/>
          <w:color w:val="auto"/>
        </w:rPr>
        <w:t>Performance Awards</w:t>
      </w:r>
      <w:r>
        <w:rPr>
          <w:rFonts w:ascii="Arial" w:cs="Arial" w:eastAsia="Arial" w:hAnsi="Arial"/>
          <w:sz w:val="12"/>
          <w:szCs w:val="12"/>
          <w:b w:val="1"/>
          <w:bCs w:val="1"/>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Compensation Committee issues performance awards annually, with an overlapping three-year performance period beginning with each fiscal year's award. The Committee adopted the</w:t>
      </w:r>
      <w:r>
        <w:rPr>
          <w:rFonts w:ascii="Arial" w:cs="Arial" w:eastAsia="Arial" w:hAnsi="Arial"/>
          <w:sz w:val="12"/>
          <w:szCs w:val="12"/>
          <w:i w:val="1"/>
          <w:iCs w:val="1"/>
          <w:color w:val="auto"/>
        </w:rPr>
        <w:t xml:space="preserve"> </w:t>
      </w:r>
      <w:r>
        <w:rPr>
          <w:rFonts w:ascii="Arial" w:cs="Arial" w:eastAsia="Arial" w:hAnsi="Arial"/>
          <w:sz w:val="12"/>
          <w:szCs w:val="12"/>
          <w:color w:val="auto"/>
        </w:rPr>
        <w:t>three-year performance award to better align the Company's long-term incentive plan with market practice and the Company's strategic plan and financial performance goals.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fiscal 2026, the Committee awarded performance awards with a three-year performance period of fiscal 2026 – 2028 to the Named Executive Officers. All performance awards were granted under the 2019 Stock Incentive Plan. The performance metrics for the awards are three-year cumulative Adjusted Diluted EPS weighted at 60%, with a target three-year cumulative Adjusted Diluted EPS of $15.76, and average Adjusted ROIC over the three-year performance period weighted at 40%, with a target average Adjusted ROIC of 12.87%. The threshold payout is 20% of target, and the maximum payout is 200% of target. The performance awards will settle 50% in cash and 50% in stock. The following table sets forth payout ranges as a percentage of salary at target performance with respect to our fiscal 2026 – 2028 performance awards.</w:t>
      </w:r>
    </w:p>
    <w:p>
      <w:pPr>
        <w:spacing w:after="0" w:line="155" w:lineRule="exact"/>
        <w:rPr>
          <w:sz w:val="20"/>
          <w:szCs w:val="20"/>
          <w:color w:val="auto"/>
        </w:rPr>
      </w:pPr>
    </w:p>
    <w:p>
      <w:pPr>
        <w:ind w:left="3840"/>
        <w:spacing w:after="0"/>
        <w:rPr>
          <w:sz w:val="20"/>
          <w:szCs w:val="20"/>
          <w:color w:val="auto"/>
        </w:rPr>
      </w:pPr>
      <w:r>
        <w:rPr>
          <w:rFonts w:ascii="Arial" w:cs="Arial" w:eastAsia="Arial" w:hAnsi="Arial"/>
          <w:sz w:val="12"/>
          <w:szCs w:val="12"/>
          <w:b w:val="1"/>
          <w:bCs w:val="1"/>
          <w:color w:val="auto"/>
        </w:rPr>
        <w:t>Fiscal 2026 – 2028 Performance Award Payouts</w:t>
      </w:r>
      <w:r>
        <w:rPr>
          <w:rFonts w:ascii="Arial" w:cs="Arial" w:eastAsia="Arial" w:hAnsi="Arial"/>
          <w:sz w:val="15"/>
          <w:szCs w:val="15"/>
          <w:b w:val="1"/>
          <w:bCs w:val="1"/>
          <w:color w:val="auto"/>
          <w:vertAlign w:val="superscript"/>
        </w:rPr>
        <w:t>(1)</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3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40" w:type="dxa"/>
            <w:vAlign w:val="bottom"/>
            <w:tcBorders>
              <w:top w:val="single" w:sz="8" w:color="auto"/>
              <w:bottom w:val="single" w:sz="8" w:color="auto"/>
            </w:tcBorders>
          </w:tcPr>
          <w:p>
            <w:pPr>
              <w:spacing w:after="0"/>
              <w:rPr>
                <w:sz w:val="14"/>
                <w:szCs w:val="14"/>
                <w:color w:val="auto"/>
              </w:rPr>
            </w:pPr>
          </w:p>
        </w:tc>
        <w:tc>
          <w:tcPr>
            <w:tcW w:w="3920" w:type="dxa"/>
            <w:vAlign w:val="bottom"/>
            <w:tcBorders>
              <w:top w:val="single" w:sz="8" w:color="auto"/>
              <w:bottom w:val="single" w:sz="8" w:color="auto"/>
            </w:tcBorders>
            <w:gridSpan w:val="3"/>
          </w:tcPr>
          <w:p>
            <w:pPr>
              <w:jc w:val="right"/>
              <w:ind w:right="2580"/>
              <w:spacing w:after="0"/>
              <w:rPr>
                <w:sz w:val="20"/>
                <w:szCs w:val="20"/>
                <w:color w:val="auto"/>
              </w:rPr>
            </w:pPr>
            <w:r>
              <w:rPr>
                <w:rFonts w:ascii="Arial" w:cs="Arial" w:eastAsia="Arial" w:hAnsi="Arial"/>
                <w:sz w:val="12"/>
                <w:szCs w:val="12"/>
                <w:b w:val="1"/>
                <w:bCs w:val="1"/>
                <w:color w:val="05445E"/>
              </w:rPr>
              <w:t>Target Payout</w:t>
            </w:r>
          </w:p>
        </w:tc>
        <w:tc>
          <w:tcPr>
            <w:tcW w:w="100" w:type="dxa"/>
            <w:vAlign w:val="bottom"/>
            <w:tcBorders>
              <w:top w:val="single" w:sz="8" w:color="auto"/>
            </w:tcBorders>
          </w:tcPr>
          <w:p>
            <w:pPr>
              <w:spacing w:after="0"/>
              <w:rPr>
                <w:sz w:val="14"/>
                <w:szCs w:val="14"/>
                <w:color w:val="auto"/>
              </w:rPr>
            </w:pPr>
          </w:p>
        </w:tc>
      </w:tr>
      <w:tr>
        <w:trPr>
          <w:trHeight w:val="141"/>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w w:val="98"/>
              </w:rPr>
              <w:t>As a Percentage</w:t>
            </w:r>
          </w:p>
        </w:tc>
      </w:tr>
      <w:tr>
        <w:trPr>
          <w:trHeight w:val="144"/>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ind w:left="520"/>
              <w:spacing w:after="0"/>
              <w:rPr>
                <w:sz w:val="20"/>
                <w:szCs w:val="20"/>
                <w:color w:val="auto"/>
              </w:rPr>
            </w:pPr>
            <w:r>
              <w:rPr>
                <w:rFonts w:ascii="Arial" w:cs="Arial" w:eastAsia="Arial" w:hAnsi="Arial"/>
                <w:sz w:val="12"/>
                <w:szCs w:val="12"/>
                <w:b w:val="1"/>
                <w:bCs w:val="1"/>
                <w:color w:val="05445E"/>
                <w:w w:val="98"/>
              </w:rPr>
              <w:t>Award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rPr>
              <w:t>of</w:t>
            </w:r>
          </w:p>
        </w:tc>
      </w:tr>
      <w:tr>
        <w:trPr>
          <w:trHeight w:val="144"/>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ind w:left="520"/>
              <w:spacing w:after="0"/>
              <w:rPr>
                <w:sz w:val="20"/>
                <w:szCs w:val="20"/>
                <w:color w:val="auto"/>
              </w:rPr>
            </w:pPr>
            <w:r>
              <w:rPr>
                <w:rFonts w:ascii="Arial" w:cs="Arial" w:eastAsia="Arial" w:hAnsi="Arial"/>
                <w:sz w:val="12"/>
                <w:szCs w:val="12"/>
                <w:b w:val="1"/>
                <w:bCs w:val="1"/>
                <w:color w:val="05445E"/>
                <w:w w:val="96"/>
              </w:rPr>
              <w:t>Amount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5445E"/>
              </w:rPr>
              <w:t>Fiscal 2026 Salary</w:t>
            </w:r>
          </w:p>
        </w:tc>
      </w:tr>
      <w:tr>
        <w:trPr>
          <w:trHeight w:val="170"/>
        </w:trPr>
        <w:tc>
          <w:tcPr>
            <w:tcW w:w="3600" w:type="dxa"/>
            <w:vAlign w:val="bottom"/>
            <w:tcBorders>
              <w:bottom w:val="single" w:sz="8" w:color="929292"/>
            </w:tcBorders>
          </w:tcPr>
          <w:p>
            <w:pPr>
              <w:ind w:left="20"/>
              <w:spacing w:after="0"/>
              <w:rPr>
                <w:sz w:val="20"/>
                <w:szCs w:val="20"/>
                <w:color w:val="auto"/>
              </w:rPr>
            </w:pPr>
            <w:r>
              <w:rPr>
                <w:rFonts w:ascii="Arial" w:cs="Arial" w:eastAsia="Arial" w:hAnsi="Arial"/>
                <w:sz w:val="12"/>
                <w:szCs w:val="12"/>
                <w:b w:val="1"/>
                <w:bCs w:val="1"/>
                <w:color w:val="05445E"/>
              </w:rPr>
              <w:t>Name</w:t>
            </w:r>
          </w:p>
        </w:tc>
        <w:tc>
          <w:tcPr>
            <w:tcW w:w="180" w:type="dxa"/>
            <w:vAlign w:val="bottom"/>
            <w:tcBorders>
              <w:bottom w:val="single" w:sz="8" w:color="D9D9D9"/>
            </w:tcBorders>
          </w:tcPr>
          <w:p>
            <w:pPr>
              <w:spacing w:after="0"/>
              <w:rPr>
                <w:sz w:val="14"/>
                <w:szCs w:val="14"/>
                <w:color w:val="auto"/>
              </w:rPr>
            </w:pPr>
          </w:p>
        </w:tc>
        <w:tc>
          <w:tcPr>
            <w:tcW w:w="2140" w:type="dxa"/>
            <w:vAlign w:val="bottom"/>
            <w:tcBorders>
              <w:bottom w:val="single" w:sz="8" w:color="929292"/>
            </w:tcBorders>
          </w:tcPr>
          <w:p>
            <w:pPr>
              <w:jc w:val="right"/>
              <w:ind w:right="640"/>
              <w:spacing w:after="0"/>
              <w:rPr>
                <w:sz w:val="20"/>
                <w:szCs w:val="20"/>
                <w:color w:val="auto"/>
              </w:rPr>
            </w:pPr>
            <w:r>
              <w:rPr>
                <w:rFonts w:ascii="Arial" w:cs="Arial" w:eastAsia="Arial" w:hAnsi="Arial"/>
                <w:sz w:val="12"/>
                <w:szCs w:val="12"/>
                <w:b w:val="1"/>
                <w:bCs w:val="1"/>
                <w:color w:val="05445E"/>
              </w:rPr>
              <w:t>($)</w:t>
            </w:r>
          </w:p>
        </w:tc>
        <w:tc>
          <w:tcPr>
            <w:tcW w:w="860" w:type="dxa"/>
            <w:vAlign w:val="bottom"/>
            <w:tcBorders>
              <w:bottom w:val="single" w:sz="8" w:color="929292"/>
            </w:tcBorders>
          </w:tcPr>
          <w:p>
            <w:pPr>
              <w:spacing w:after="0"/>
              <w:rPr>
                <w:sz w:val="14"/>
                <w:szCs w:val="14"/>
                <w:color w:val="auto"/>
              </w:rPr>
            </w:pPr>
          </w:p>
        </w:tc>
        <w:tc>
          <w:tcPr>
            <w:tcW w:w="100" w:type="dxa"/>
            <w:vAlign w:val="bottom"/>
            <w:tcBorders>
              <w:bottom w:val="single" w:sz="8" w:color="D9D9D9"/>
            </w:tcBorders>
          </w:tcPr>
          <w:p>
            <w:pPr>
              <w:spacing w:after="0"/>
              <w:rPr>
                <w:sz w:val="14"/>
                <w:szCs w:val="14"/>
                <w:color w:val="auto"/>
              </w:rPr>
            </w:pPr>
          </w:p>
        </w:tc>
        <w:tc>
          <w:tcPr>
            <w:tcW w:w="296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rPr>
              <w:t>(%)</w:t>
            </w:r>
          </w:p>
        </w:tc>
        <w:tc>
          <w:tcPr>
            <w:tcW w:w="100" w:type="dxa"/>
            <w:vAlign w:val="bottom"/>
            <w:tcBorders>
              <w:bottom w:val="single" w:sz="8" w:color="D9D9D9"/>
            </w:tcBorders>
          </w:tcPr>
          <w:p>
            <w:pPr>
              <w:spacing w:after="0"/>
              <w:rPr>
                <w:sz w:val="14"/>
                <w:szCs w:val="14"/>
                <w:color w:val="auto"/>
              </w:rPr>
            </w:pPr>
          </w:p>
        </w:tc>
      </w:tr>
      <w:tr>
        <w:trPr>
          <w:trHeight w:val="174"/>
        </w:trPr>
        <w:tc>
          <w:tcPr>
            <w:tcW w:w="378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(2)</w:t>
            </w:r>
          </w:p>
        </w:tc>
        <w:tc>
          <w:tcPr>
            <w:tcW w:w="2140" w:type="dxa"/>
            <w:vAlign w:val="bottom"/>
            <w:shd w:val="clear" w:color="auto" w:fill="D9D9D9"/>
          </w:tcPr>
          <w:p>
            <w:pPr>
              <w:jc w:val="center"/>
              <w:ind w:left="520"/>
              <w:spacing w:after="0"/>
              <w:rPr>
                <w:sz w:val="20"/>
                <w:szCs w:val="20"/>
                <w:color w:val="auto"/>
              </w:rPr>
            </w:pPr>
            <w:r>
              <w:rPr>
                <w:rFonts w:ascii="Arial" w:cs="Arial" w:eastAsia="Arial" w:hAnsi="Arial"/>
                <w:sz w:val="12"/>
                <w:szCs w:val="12"/>
                <w:color w:val="auto"/>
                <w:w w:val="99"/>
              </w:rPr>
              <w:t>N/A</w:t>
            </w:r>
          </w:p>
        </w:tc>
        <w:tc>
          <w:tcPr>
            <w:tcW w:w="8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3060" w:type="dxa"/>
            <w:vAlign w:val="bottom"/>
            <w:gridSpan w:val="2"/>
            <w:shd w:val="clear" w:color="auto" w:fill="D9D9D9"/>
          </w:tcPr>
          <w:p>
            <w:pPr>
              <w:jc w:val="center"/>
              <w:ind w:right="100"/>
              <w:spacing w:after="0"/>
              <w:rPr>
                <w:sz w:val="20"/>
                <w:szCs w:val="20"/>
                <w:color w:val="auto"/>
              </w:rPr>
            </w:pPr>
            <w:r>
              <w:rPr>
                <w:rFonts w:ascii="Arial" w:cs="Arial" w:eastAsia="Arial" w:hAnsi="Arial"/>
                <w:sz w:val="12"/>
                <w:szCs w:val="12"/>
                <w:color w:val="auto"/>
                <w:w w:val="99"/>
              </w:rPr>
              <w:t>N/A</w:t>
            </w:r>
          </w:p>
        </w:tc>
      </w:tr>
      <w:tr>
        <w:trPr>
          <w:trHeight w:val="172"/>
        </w:trPr>
        <w:tc>
          <w:tcPr>
            <w:tcW w:w="3780" w:type="dxa"/>
            <w:vAlign w:val="bottom"/>
            <w:gridSpan w:val="2"/>
          </w:tcPr>
          <w:p>
            <w:pPr>
              <w:ind w:left="20"/>
              <w:spacing w:after="0"/>
              <w:rPr>
                <w:sz w:val="20"/>
                <w:szCs w:val="20"/>
                <w:color w:val="auto"/>
              </w:rPr>
            </w:pPr>
            <w:r>
              <w:rPr>
                <w:rFonts w:ascii="Arial" w:cs="Arial" w:eastAsia="Arial" w:hAnsi="Arial"/>
                <w:sz w:val="12"/>
                <w:szCs w:val="12"/>
                <w:color w:val="auto"/>
              </w:rPr>
              <w:t>Mark R. Augdahl</w:t>
            </w:r>
          </w:p>
        </w:tc>
        <w:tc>
          <w:tcPr>
            <w:tcW w:w="2140" w:type="dxa"/>
            <w:vAlign w:val="bottom"/>
          </w:tcPr>
          <w:p>
            <w:pPr>
              <w:jc w:val="right"/>
              <w:ind w:right="1140"/>
              <w:spacing w:after="0"/>
              <w:rPr>
                <w:sz w:val="20"/>
                <w:szCs w:val="20"/>
                <w:color w:val="auto"/>
              </w:rPr>
            </w:pPr>
            <w:r>
              <w:rPr>
                <w:rFonts w:ascii="Arial" w:cs="Arial" w:eastAsia="Arial" w:hAnsi="Arial"/>
                <w:sz w:val="12"/>
                <w:szCs w:val="12"/>
                <w:color w:val="auto"/>
              </w:rPr>
              <w:t>176,505</w:t>
            </w:r>
          </w:p>
        </w:tc>
        <w:tc>
          <w:tcPr>
            <w:tcW w:w="3920" w:type="dxa"/>
            <w:vAlign w:val="bottom"/>
            <w:gridSpan w:val="3"/>
          </w:tcPr>
          <w:p>
            <w:pPr>
              <w:jc w:val="right"/>
              <w:ind w:right="600"/>
              <w:spacing w:after="0"/>
              <w:rPr>
                <w:sz w:val="20"/>
                <w:szCs w:val="20"/>
                <w:color w:val="auto"/>
              </w:rPr>
            </w:pPr>
            <w:r>
              <w:rPr>
                <w:rFonts w:ascii="Arial" w:cs="Arial" w:eastAsia="Arial" w:hAnsi="Arial"/>
                <w:sz w:val="12"/>
                <w:szCs w:val="12"/>
                <w:color w:val="auto"/>
              </w:rPr>
              <w:t>32.09</w:t>
            </w:r>
          </w:p>
        </w:tc>
        <w:tc>
          <w:tcPr>
            <w:tcW w:w="100" w:type="dxa"/>
            <w:vAlign w:val="bottom"/>
          </w:tcPr>
          <w:p>
            <w:pPr>
              <w:spacing w:after="0"/>
              <w:rPr>
                <w:sz w:val="14"/>
                <w:szCs w:val="14"/>
                <w:color w:val="auto"/>
              </w:rPr>
            </w:pPr>
          </w:p>
        </w:tc>
      </w:tr>
      <w:tr>
        <w:trPr>
          <w:trHeight w:val="188"/>
        </w:trPr>
        <w:tc>
          <w:tcPr>
            <w:tcW w:w="378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Troy R. Johnson</w:t>
            </w:r>
          </w:p>
        </w:tc>
        <w:tc>
          <w:tcPr>
            <w:tcW w:w="2140" w:type="dxa"/>
            <w:vAlign w:val="bottom"/>
            <w:shd w:val="clear" w:color="auto" w:fill="D9D9D9"/>
          </w:tcPr>
          <w:p>
            <w:pPr>
              <w:ind w:left="580"/>
              <w:spacing w:after="0"/>
              <w:rPr>
                <w:sz w:val="20"/>
                <w:szCs w:val="20"/>
                <w:color w:val="auto"/>
              </w:rPr>
            </w:pPr>
            <w:r>
              <w:rPr>
                <w:rFonts w:ascii="Arial" w:cs="Arial" w:eastAsia="Arial" w:hAnsi="Arial"/>
                <w:sz w:val="12"/>
                <w:szCs w:val="12"/>
                <w:color w:val="auto"/>
              </w:rPr>
              <w:t>273,011</w:t>
            </w:r>
          </w:p>
        </w:tc>
        <w:tc>
          <w:tcPr>
            <w:tcW w:w="3920" w:type="dxa"/>
            <w:vAlign w:val="bottom"/>
            <w:gridSpan w:val="3"/>
            <w:shd w:val="clear" w:color="auto" w:fill="D9D9D9"/>
          </w:tcPr>
          <w:p>
            <w:pPr>
              <w:jc w:val="right"/>
              <w:ind w:right="600"/>
              <w:spacing w:after="0"/>
              <w:rPr>
                <w:sz w:val="20"/>
                <w:szCs w:val="20"/>
                <w:color w:val="auto"/>
              </w:rPr>
            </w:pPr>
            <w:r>
              <w:rPr>
                <w:rFonts w:ascii="Arial" w:cs="Arial" w:eastAsia="Arial" w:hAnsi="Arial"/>
                <w:sz w:val="12"/>
                <w:szCs w:val="12"/>
                <w:color w:val="auto"/>
              </w:rPr>
              <w:t>54.06</w:t>
            </w:r>
          </w:p>
        </w:tc>
        <w:tc>
          <w:tcPr>
            <w:tcW w:w="100" w:type="dxa"/>
            <w:vAlign w:val="bottom"/>
            <w:shd w:val="clear" w:color="auto" w:fill="D9D9D9"/>
          </w:tcPr>
          <w:p>
            <w:pPr>
              <w:spacing w:after="0"/>
              <w:rPr>
                <w:sz w:val="16"/>
                <w:szCs w:val="16"/>
                <w:color w:val="auto"/>
              </w:rPr>
            </w:pPr>
          </w:p>
        </w:tc>
      </w:tr>
      <w:tr>
        <w:trPr>
          <w:trHeight w:val="172"/>
        </w:trPr>
        <w:tc>
          <w:tcPr>
            <w:tcW w:w="3780" w:type="dxa"/>
            <w:vAlign w:val="bottom"/>
            <w:gridSpan w:val="2"/>
          </w:tcPr>
          <w:p>
            <w:pPr>
              <w:ind w:left="20"/>
              <w:spacing w:after="0"/>
              <w:rPr>
                <w:sz w:val="20"/>
                <w:szCs w:val="20"/>
                <w:color w:val="auto"/>
              </w:rPr>
            </w:pPr>
            <w:r>
              <w:rPr>
                <w:rFonts w:ascii="Arial" w:cs="Arial" w:eastAsia="Arial" w:hAnsi="Arial"/>
                <w:sz w:val="12"/>
                <w:szCs w:val="12"/>
                <w:color w:val="auto"/>
              </w:rPr>
              <w:t>Veena M. Lakkundi</w:t>
            </w:r>
          </w:p>
        </w:tc>
        <w:tc>
          <w:tcPr>
            <w:tcW w:w="2140" w:type="dxa"/>
            <w:vAlign w:val="bottom"/>
          </w:tcPr>
          <w:p>
            <w:pPr>
              <w:jc w:val="right"/>
              <w:ind w:right="1140"/>
              <w:spacing w:after="0"/>
              <w:rPr>
                <w:sz w:val="20"/>
                <w:szCs w:val="20"/>
                <w:color w:val="auto"/>
              </w:rPr>
            </w:pPr>
            <w:r>
              <w:rPr>
                <w:rFonts w:ascii="Arial" w:cs="Arial" w:eastAsia="Arial" w:hAnsi="Arial"/>
                <w:sz w:val="12"/>
                <w:szCs w:val="12"/>
                <w:color w:val="auto"/>
              </w:rPr>
              <w:t>330,017</w:t>
            </w:r>
          </w:p>
        </w:tc>
        <w:tc>
          <w:tcPr>
            <w:tcW w:w="3920" w:type="dxa"/>
            <w:vAlign w:val="bottom"/>
            <w:gridSpan w:val="3"/>
          </w:tcPr>
          <w:p>
            <w:pPr>
              <w:jc w:val="right"/>
              <w:ind w:right="600"/>
              <w:spacing w:after="0"/>
              <w:rPr>
                <w:sz w:val="20"/>
                <w:szCs w:val="20"/>
                <w:color w:val="auto"/>
              </w:rPr>
            </w:pPr>
            <w:r>
              <w:rPr>
                <w:rFonts w:ascii="Arial" w:cs="Arial" w:eastAsia="Arial" w:hAnsi="Arial"/>
                <w:sz w:val="12"/>
                <w:szCs w:val="12"/>
                <w:color w:val="auto"/>
              </w:rPr>
              <w:t>60.00</w:t>
            </w:r>
          </w:p>
        </w:tc>
        <w:tc>
          <w:tcPr>
            <w:tcW w:w="100" w:type="dxa"/>
            <w:vAlign w:val="bottom"/>
          </w:tcPr>
          <w:p>
            <w:pPr>
              <w:spacing w:after="0"/>
              <w:rPr>
                <w:sz w:val="14"/>
                <w:szCs w:val="14"/>
                <w:color w:val="auto"/>
              </w:rPr>
            </w:pPr>
          </w:p>
        </w:tc>
      </w:tr>
      <w:tr>
        <w:trPr>
          <w:trHeight w:val="188"/>
        </w:trPr>
        <w:tc>
          <w:tcPr>
            <w:tcW w:w="378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Brent C. Jewell</w:t>
            </w:r>
          </w:p>
        </w:tc>
        <w:tc>
          <w:tcPr>
            <w:tcW w:w="2140" w:type="dxa"/>
            <w:vAlign w:val="bottom"/>
            <w:shd w:val="clear" w:color="auto" w:fill="D9D9D9"/>
          </w:tcPr>
          <w:p>
            <w:pPr>
              <w:ind w:left="580"/>
              <w:spacing w:after="0"/>
              <w:rPr>
                <w:sz w:val="20"/>
                <w:szCs w:val="20"/>
                <w:color w:val="auto"/>
              </w:rPr>
            </w:pPr>
            <w:r>
              <w:rPr>
                <w:rFonts w:ascii="Arial" w:cs="Arial" w:eastAsia="Arial" w:hAnsi="Arial"/>
                <w:sz w:val="12"/>
                <w:szCs w:val="12"/>
                <w:color w:val="auto"/>
              </w:rPr>
              <w:t>277,782</w:t>
            </w:r>
          </w:p>
        </w:tc>
        <w:tc>
          <w:tcPr>
            <w:tcW w:w="3920" w:type="dxa"/>
            <w:vAlign w:val="bottom"/>
            <w:gridSpan w:val="3"/>
            <w:shd w:val="clear" w:color="auto" w:fill="D9D9D9"/>
          </w:tcPr>
          <w:p>
            <w:pPr>
              <w:jc w:val="right"/>
              <w:ind w:right="600"/>
              <w:spacing w:after="0"/>
              <w:rPr>
                <w:sz w:val="20"/>
                <w:szCs w:val="20"/>
                <w:color w:val="auto"/>
              </w:rPr>
            </w:pPr>
            <w:r>
              <w:rPr>
                <w:rFonts w:ascii="Arial" w:cs="Arial" w:eastAsia="Arial" w:hAnsi="Arial"/>
                <w:sz w:val="12"/>
                <w:szCs w:val="12"/>
                <w:color w:val="auto"/>
              </w:rPr>
              <w:t>60.00</w:t>
            </w:r>
          </w:p>
        </w:tc>
        <w:tc>
          <w:tcPr>
            <w:tcW w:w="100" w:type="dxa"/>
            <w:vAlign w:val="bottom"/>
            <w:shd w:val="clear" w:color="auto" w:fill="D9D9D9"/>
          </w:tcPr>
          <w:p>
            <w:pPr>
              <w:spacing w:after="0"/>
              <w:rPr>
                <w:sz w:val="16"/>
                <w:szCs w:val="16"/>
                <w:color w:val="auto"/>
              </w:rPr>
            </w:pPr>
          </w:p>
        </w:tc>
      </w:tr>
      <w:tr>
        <w:trPr>
          <w:trHeight w:val="180"/>
        </w:trPr>
        <w:tc>
          <w:tcPr>
            <w:tcW w:w="3780" w:type="dxa"/>
            <w:vAlign w:val="bottom"/>
            <w:gridSpan w:val="2"/>
          </w:tcPr>
          <w:p>
            <w:pPr>
              <w:ind w:left="20"/>
              <w:spacing w:after="0"/>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(3)</w:t>
            </w:r>
          </w:p>
        </w:tc>
        <w:tc>
          <w:tcPr>
            <w:tcW w:w="2140" w:type="dxa"/>
            <w:vAlign w:val="bottom"/>
          </w:tcPr>
          <w:p>
            <w:pPr>
              <w:jc w:val="right"/>
              <w:ind w:right="460"/>
              <w:spacing w:after="0"/>
              <w:rPr>
                <w:sz w:val="20"/>
                <w:szCs w:val="20"/>
                <w:color w:val="auto"/>
              </w:rPr>
            </w:pPr>
            <w:r>
              <w:rPr>
                <w:rFonts w:ascii="Arial" w:cs="Arial" w:eastAsia="Arial" w:hAnsi="Arial"/>
                <w:sz w:val="12"/>
                <w:szCs w:val="12"/>
                <w:color w:val="auto"/>
              </w:rPr>
              <w:t>1,957,208</w:t>
            </w:r>
          </w:p>
        </w:tc>
        <w:tc>
          <w:tcPr>
            <w:tcW w:w="3920" w:type="dxa"/>
            <w:vAlign w:val="bottom"/>
            <w:gridSpan w:val="3"/>
          </w:tcPr>
          <w:p>
            <w:pPr>
              <w:jc w:val="right"/>
              <w:ind w:right="600"/>
              <w:spacing w:after="0"/>
              <w:rPr>
                <w:sz w:val="20"/>
                <w:szCs w:val="20"/>
                <w:color w:val="auto"/>
              </w:rPr>
            </w:pPr>
            <w:r>
              <w:rPr>
                <w:rFonts w:ascii="Arial" w:cs="Arial" w:eastAsia="Arial" w:hAnsi="Arial"/>
                <w:sz w:val="12"/>
                <w:szCs w:val="12"/>
                <w:color w:val="auto"/>
              </w:rPr>
              <w:t>210.00</w:t>
            </w:r>
          </w:p>
        </w:tc>
        <w:tc>
          <w:tcPr>
            <w:tcW w:w="100" w:type="dxa"/>
            <w:vAlign w:val="bottom"/>
          </w:tcPr>
          <w:p>
            <w:pPr>
              <w:spacing w:after="0"/>
              <w:rPr>
                <w:sz w:val="15"/>
                <w:szCs w:val="15"/>
                <w:color w:val="auto"/>
              </w:rPr>
            </w:pPr>
          </w:p>
        </w:tc>
      </w:tr>
      <w:tr>
        <w:trPr>
          <w:trHeight w:val="180"/>
        </w:trPr>
        <w:tc>
          <w:tcPr>
            <w:tcW w:w="378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(4)</w:t>
            </w:r>
          </w:p>
        </w:tc>
        <w:tc>
          <w:tcPr>
            <w:tcW w:w="2140" w:type="dxa"/>
            <w:vAlign w:val="bottom"/>
            <w:shd w:val="clear" w:color="auto" w:fill="D9D9D9"/>
          </w:tcPr>
          <w:p>
            <w:pPr>
              <w:ind w:left="580"/>
              <w:spacing w:after="0"/>
              <w:rPr>
                <w:sz w:val="20"/>
                <w:szCs w:val="20"/>
                <w:color w:val="auto"/>
              </w:rPr>
            </w:pPr>
            <w:r>
              <w:rPr>
                <w:rFonts w:ascii="Arial" w:cs="Arial" w:eastAsia="Arial" w:hAnsi="Arial"/>
                <w:sz w:val="12"/>
                <w:szCs w:val="12"/>
                <w:color w:val="auto"/>
              </w:rPr>
              <w:t>503,995</w:t>
            </w:r>
          </w:p>
        </w:tc>
        <w:tc>
          <w:tcPr>
            <w:tcW w:w="3920" w:type="dxa"/>
            <w:vAlign w:val="bottom"/>
            <w:gridSpan w:val="3"/>
            <w:shd w:val="clear" w:color="auto" w:fill="D9D9D9"/>
          </w:tcPr>
          <w:p>
            <w:pPr>
              <w:jc w:val="right"/>
              <w:ind w:right="600"/>
              <w:spacing w:after="0"/>
              <w:rPr>
                <w:sz w:val="20"/>
                <w:szCs w:val="20"/>
                <w:color w:val="auto"/>
              </w:rPr>
            </w:pPr>
            <w:r>
              <w:rPr>
                <w:rFonts w:ascii="Arial" w:cs="Arial" w:eastAsia="Arial" w:hAnsi="Arial"/>
                <w:sz w:val="12"/>
                <w:szCs w:val="12"/>
                <w:color w:val="auto"/>
              </w:rPr>
              <w:t>75.00</w:t>
            </w:r>
          </w:p>
        </w:tc>
        <w:tc>
          <w:tcPr>
            <w:tcW w:w="100" w:type="dxa"/>
            <w:vAlign w:val="bottom"/>
            <w:shd w:val="clear" w:color="auto" w:fill="D9D9D9"/>
          </w:tcPr>
          <w:p>
            <w:pPr>
              <w:spacing w:after="0"/>
              <w:rPr>
                <w:sz w:val="15"/>
                <w:szCs w:val="15"/>
                <w:color w:val="auto"/>
              </w:rPr>
            </w:pPr>
          </w:p>
        </w:tc>
      </w:tr>
    </w:tbl>
    <w:p>
      <w:pPr>
        <w:spacing w:after="0" w:line="55" w:lineRule="exact"/>
        <w:rPr>
          <w:sz w:val="20"/>
          <w:szCs w:val="20"/>
          <w:color w:val="auto"/>
        </w:rPr>
      </w:pPr>
    </w:p>
    <w:p>
      <w:pPr>
        <w:ind w:left="260"/>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540" w:right="20" w:hanging="332"/>
        <w:spacing w:after="0" w:line="286" w:lineRule="auto"/>
        <w:tabs>
          <w:tab w:leader="none" w:pos="534"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award amounts reflected in the table are for the performance period of fiscal 2026 through 2028. The value of the awards reflects the number of shares granted at the performance level multiplied by the closing price of a share of our common stock on the Nasdaq Global Select Market on the date of grant plus the amount of cash.</w:t>
      </w:r>
    </w:p>
    <w:p>
      <w:pPr>
        <w:spacing w:after="0" w:line="31" w:lineRule="exact"/>
        <w:rPr>
          <w:rFonts w:ascii="Arial" w:cs="Arial" w:eastAsia="Arial" w:hAnsi="Arial"/>
          <w:sz w:val="12"/>
          <w:szCs w:val="12"/>
          <w:color w:val="auto"/>
        </w:rPr>
      </w:pPr>
    </w:p>
    <w:p>
      <w:pPr>
        <w:ind w:left="520" w:hanging="312"/>
        <w:spacing w:after="0"/>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Nolan was appointed as Chief Executive Officer at the close of business on October 31, 2025, during fiscal 2026, and did not receive a performance award.</w:t>
      </w:r>
    </w:p>
    <w:p>
      <w:pPr>
        <w:spacing w:after="0" w:line="78" w:lineRule="exact"/>
        <w:rPr>
          <w:rFonts w:ascii="Arial" w:cs="Arial" w:eastAsia="Arial" w:hAnsi="Arial"/>
          <w:sz w:val="12"/>
          <w:szCs w:val="12"/>
          <w:color w:val="auto"/>
        </w:rPr>
      </w:pPr>
    </w:p>
    <w:p>
      <w:pPr>
        <w:ind w:left="520" w:hanging="312"/>
        <w:spacing w:after="0"/>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and he forfeited this performance award.</w:t>
      </w:r>
    </w:p>
    <w:p>
      <w:pPr>
        <w:spacing w:after="0" w:line="78" w:lineRule="exact"/>
        <w:rPr>
          <w:rFonts w:ascii="Arial" w:cs="Arial" w:eastAsia="Arial" w:hAnsi="Arial"/>
          <w:sz w:val="12"/>
          <w:szCs w:val="12"/>
          <w:color w:val="auto"/>
        </w:rPr>
      </w:pPr>
    </w:p>
    <w:p>
      <w:pPr>
        <w:ind w:left="520" w:hanging="312"/>
        <w:spacing w:after="0"/>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and he forfeited this performance award.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52" w:name="page53"/>
    <w:bookmarkEnd w:id="52"/>
    <w:p>
      <w:pPr>
        <w:jc w:val="both"/>
        <w:ind w:left="8"/>
        <w:spacing w:after="0" w:line="268" w:lineRule="auto"/>
        <w:rPr>
          <w:sz w:val="20"/>
          <w:szCs w:val="20"/>
          <w:color w:val="auto"/>
        </w:rPr>
      </w:pPr>
      <w:r>
        <w:rPr>
          <w:rFonts w:ascii="Arial" w:cs="Arial" w:eastAsia="Arial" w:hAnsi="Arial"/>
          <w:sz w:val="12"/>
          <w:szCs w:val="12"/>
          <w:i w:val="1"/>
          <w:iCs w:val="1"/>
          <w:u w:val="single" w:color="auto"/>
          <w:color w:val="auto"/>
        </w:rPr>
        <w:t>Fiscal 2024</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2026 Performance Award Payouts</w:t>
      </w:r>
      <w:r>
        <w:rPr>
          <w:rFonts w:ascii="Arial" w:cs="Arial" w:eastAsia="Arial" w:hAnsi="Arial"/>
          <w:sz w:val="12"/>
          <w:szCs w:val="12"/>
          <w:color w:val="auto"/>
        </w:rPr>
        <w:t>. Performance awards having a three-year performance period through the end of fiscal 2026 were settled 50% in shares and 50% in cash. The performance metric</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awards was average Adjusted ROIC over the three-year performance period, with a target average Adjusted ROIC of 14.64%. The following table outlines the threshold, target and maximum for these performance awards, as well as actual performance and the percentage of the performance awards achieved.</w:t>
      </w:r>
    </w:p>
    <w:p>
      <w:pPr>
        <w:spacing w:after="0" w:line="150" w:lineRule="exact"/>
        <w:rPr>
          <w:sz w:val="20"/>
          <w:szCs w:val="20"/>
          <w:color w:val="auto"/>
        </w:rPr>
      </w:pPr>
    </w:p>
    <w:p>
      <w:pPr>
        <w:jc w:val="center"/>
        <w:ind w:right="112"/>
        <w:spacing w:after="0"/>
        <w:rPr>
          <w:sz w:val="20"/>
          <w:szCs w:val="20"/>
          <w:color w:val="auto"/>
        </w:rPr>
      </w:pPr>
      <w:r>
        <w:rPr>
          <w:rFonts w:ascii="Arial" w:cs="Arial" w:eastAsia="Arial" w:hAnsi="Arial"/>
          <w:sz w:val="12"/>
          <w:szCs w:val="12"/>
          <w:b w:val="1"/>
          <w:bCs w:val="1"/>
          <w:color w:val="auto"/>
        </w:rPr>
        <w:t>Fiscal 2024 – 2026 Performance Goals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05445E"/>
              </w:rPr>
              <w:t>Percentage Performance</w:t>
            </w: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360"/>
              <w:spacing w:after="0"/>
              <w:rPr>
                <w:sz w:val="20"/>
                <w:szCs w:val="20"/>
                <w:color w:val="auto"/>
              </w:rPr>
            </w:pPr>
            <w:r>
              <w:rPr>
                <w:rFonts w:ascii="Arial" w:cs="Arial" w:eastAsia="Arial" w:hAnsi="Arial"/>
                <w:sz w:val="12"/>
                <w:szCs w:val="12"/>
                <w:b w:val="1"/>
                <w:bCs w:val="1"/>
                <w:color w:val="05445E"/>
              </w:rPr>
              <w:t>Weight</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05445E"/>
              </w:rPr>
              <w:t>Threshold</w:t>
            </w:r>
          </w:p>
        </w:tc>
        <w:tc>
          <w:tcPr>
            <w:tcW w:w="1340" w:type="dxa"/>
            <w:vAlign w:val="bottom"/>
            <w:gridSpan w:val="2"/>
          </w:tcPr>
          <w:p>
            <w:pPr>
              <w:ind w:left="420"/>
              <w:spacing w:after="0"/>
              <w:rPr>
                <w:sz w:val="20"/>
                <w:szCs w:val="20"/>
                <w:color w:val="auto"/>
              </w:rPr>
            </w:pPr>
            <w:r>
              <w:rPr>
                <w:rFonts w:ascii="Arial" w:cs="Arial" w:eastAsia="Arial" w:hAnsi="Arial"/>
                <w:sz w:val="12"/>
                <w:szCs w:val="12"/>
                <w:b w:val="1"/>
                <w:bCs w:val="1"/>
                <w:color w:val="05445E"/>
              </w:rPr>
              <w:t>Target</w:t>
            </w:r>
          </w:p>
        </w:tc>
        <w:tc>
          <w:tcPr>
            <w:tcW w:w="1300" w:type="dxa"/>
            <w:vAlign w:val="bottom"/>
            <w:gridSpan w:val="2"/>
          </w:tcPr>
          <w:p>
            <w:pPr>
              <w:ind w:left="340"/>
              <w:spacing w:after="0"/>
              <w:rPr>
                <w:sz w:val="20"/>
                <w:szCs w:val="20"/>
                <w:color w:val="auto"/>
              </w:rPr>
            </w:pPr>
            <w:r>
              <w:rPr>
                <w:rFonts w:ascii="Arial" w:cs="Arial" w:eastAsia="Arial" w:hAnsi="Arial"/>
                <w:sz w:val="12"/>
                <w:szCs w:val="12"/>
                <w:b w:val="1"/>
                <w:bCs w:val="1"/>
                <w:color w:val="05445E"/>
              </w:rPr>
              <w:t>Maximum</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05445E"/>
              </w:rPr>
              <w:t>Achieved</w:t>
            </w:r>
          </w:p>
        </w:tc>
      </w:tr>
      <w:tr>
        <w:trPr>
          <w:trHeight w:val="170"/>
        </w:trPr>
        <w:tc>
          <w:tcPr>
            <w:tcW w:w="252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Performance Metric</w:t>
            </w:r>
          </w:p>
        </w:tc>
        <w:tc>
          <w:tcPr>
            <w:tcW w:w="140" w:type="dxa"/>
            <w:vAlign w:val="bottom"/>
            <w:tcBorders>
              <w:bottom w:val="single" w:sz="8" w:color="DBDBDB"/>
            </w:tcBorders>
          </w:tcPr>
          <w:p>
            <w:pPr>
              <w:spacing w:after="0"/>
              <w:rPr>
                <w:sz w:val="14"/>
                <w:szCs w:val="14"/>
                <w:color w:val="auto"/>
              </w:rPr>
            </w:pPr>
          </w:p>
        </w:tc>
        <w:tc>
          <w:tcPr>
            <w:tcW w:w="1120" w:type="dxa"/>
            <w:vAlign w:val="bottom"/>
            <w:tcBorders>
              <w:bottom w:val="single" w:sz="8" w:color="929292"/>
            </w:tcBorders>
          </w:tcPr>
          <w:p>
            <w:pPr>
              <w:jc w:val="right"/>
              <w:ind w:right="400"/>
              <w:spacing w:after="0"/>
              <w:rPr>
                <w:sz w:val="20"/>
                <w:szCs w:val="20"/>
                <w:color w:val="auto"/>
              </w:rPr>
            </w:pPr>
            <w:r>
              <w:rPr>
                <w:rFonts w:ascii="Arial" w:cs="Arial" w:eastAsia="Arial" w:hAnsi="Arial"/>
                <w:sz w:val="12"/>
                <w:szCs w:val="12"/>
                <w:b w:val="1"/>
                <w:bCs w:val="1"/>
                <w:color w:val="05445E"/>
              </w:rPr>
              <w:t>(%)</w:t>
            </w:r>
          </w:p>
        </w:tc>
        <w:tc>
          <w:tcPr>
            <w:tcW w:w="120" w:type="dxa"/>
            <w:vAlign w:val="bottom"/>
            <w:tcBorders>
              <w:bottom w:val="single" w:sz="8" w:color="DBDBDB"/>
            </w:tcBorders>
          </w:tcPr>
          <w:p>
            <w:pPr>
              <w:spacing w:after="0"/>
              <w:rPr>
                <w:sz w:val="14"/>
                <w:szCs w:val="14"/>
                <w:color w:val="auto"/>
              </w:rPr>
            </w:pPr>
          </w:p>
        </w:tc>
        <w:tc>
          <w:tcPr>
            <w:tcW w:w="1340" w:type="dxa"/>
            <w:vAlign w:val="bottom"/>
            <w:tcBorders>
              <w:bottom w:val="single" w:sz="8" w:color="929292"/>
            </w:tcBorders>
          </w:tcPr>
          <w:p>
            <w:pPr>
              <w:jc w:val="right"/>
              <w:ind w:right="440"/>
              <w:spacing w:after="0"/>
              <w:rPr>
                <w:sz w:val="20"/>
                <w:szCs w:val="20"/>
                <w:color w:val="auto"/>
              </w:rPr>
            </w:pPr>
            <w:r>
              <w:rPr>
                <w:rFonts w:ascii="Arial" w:cs="Arial" w:eastAsia="Arial" w:hAnsi="Arial"/>
                <w:sz w:val="12"/>
                <w:szCs w:val="12"/>
                <w:b w:val="1"/>
                <w:bCs w:val="1"/>
                <w:color w:val="05445E"/>
              </w:rPr>
              <w:t>(50%)</w:t>
            </w:r>
          </w:p>
        </w:tc>
        <w:tc>
          <w:tcPr>
            <w:tcW w:w="140" w:type="dxa"/>
            <w:vAlign w:val="bottom"/>
            <w:tcBorders>
              <w:bottom w:val="single" w:sz="8" w:color="DBDBDB"/>
            </w:tcBorders>
          </w:tcPr>
          <w:p>
            <w:pPr>
              <w:spacing w:after="0"/>
              <w:rPr>
                <w:sz w:val="14"/>
                <w:szCs w:val="14"/>
                <w:color w:val="auto"/>
              </w:rPr>
            </w:pPr>
          </w:p>
        </w:tc>
        <w:tc>
          <w:tcPr>
            <w:tcW w:w="1220" w:type="dxa"/>
            <w:vAlign w:val="bottom"/>
            <w:tcBorders>
              <w:bottom w:val="single" w:sz="8" w:color="929292"/>
            </w:tcBorders>
          </w:tcPr>
          <w:p>
            <w:pPr>
              <w:jc w:val="right"/>
              <w:ind w:right="360"/>
              <w:spacing w:after="0"/>
              <w:rPr>
                <w:sz w:val="20"/>
                <w:szCs w:val="20"/>
                <w:color w:val="auto"/>
              </w:rPr>
            </w:pPr>
            <w:r>
              <w:rPr>
                <w:rFonts w:ascii="Arial" w:cs="Arial" w:eastAsia="Arial" w:hAnsi="Arial"/>
                <w:sz w:val="12"/>
                <w:szCs w:val="12"/>
                <w:b w:val="1"/>
                <w:bCs w:val="1"/>
                <w:color w:val="05445E"/>
              </w:rPr>
              <w:t>(100%)</w:t>
            </w:r>
          </w:p>
        </w:tc>
        <w:tc>
          <w:tcPr>
            <w:tcW w:w="120" w:type="dxa"/>
            <w:vAlign w:val="bottom"/>
            <w:tcBorders>
              <w:bottom w:val="single" w:sz="8" w:color="DBDBDB"/>
            </w:tcBorders>
          </w:tcPr>
          <w:p>
            <w:pPr>
              <w:spacing w:after="0"/>
              <w:rPr>
                <w:sz w:val="14"/>
                <w:szCs w:val="14"/>
                <w:color w:val="auto"/>
              </w:rPr>
            </w:pPr>
          </w:p>
        </w:tc>
        <w:tc>
          <w:tcPr>
            <w:tcW w:w="1220" w:type="dxa"/>
            <w:vAlign w:val="bottom"/>
            <w:tcBorders>
              <w:bottom w:val="single" w:sz="8" w:color="929292"/>
            </w:tcBorders>
          </w:tcPr>
          <w:p>
            <w:pPr>
              <w:jc w:val="right"/>
              <w:ind w:right="360"/>
              <w:spacing w:after="0"/>
              <w:rPr>
                <w:sz w:val="20"/>
                <w:szCs w:val="20"/>
                <w:color w:val="auto"/>
              </w:rPr>
            </w:pPr>
            <w:r>
              <w:rPr>
                <w:rFonts w:ascii="Arial" w:cs="Arial" w:eastAsia="Arial" w:hAnsi="Arial"/>
                <w:sz w:val="12"/>
                <w:szCs w:val="12"/>
                <w:b w:val="1"/>
                <w:bCs w:val="1"/>
                <w:color w:val="05445E"/>
              </w:rPr>
              <w:t>(200%)</w:t>
            </w:r>
          </w:p>
        </w:tc>
        <w:tc>
          <w:tcPr>
            <w:tcW w:w="80" w:type="dxa"/>
            <w:vAlign w:val="bottom"/>
            <w:tcBorders>
              <w:bottom w:val="single" w:sz="8" w:color="DBDBDB"/>
            </w:tcBorders>
          </w:tcPr>
          <w:p>
            <w:pPr>
              <w:spacing w:after="0"/>
              <w:rPr>
                <w:sz w:val="14"/>
                <w:szCs w:val="14"/>
                <w:color w:val="auto"/>
              </w:rPr>
            </w:pPr>
          </w:p>
        </w:tc>
        <w:tc>
          <w:tcPr>
            <w:tcW w:w="150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8"/>
              </w:rPr>
              <w:t>Actual Performance (%)</w:t>
            </w:r>
          </w:p>
        </w:tc>
        <w:tc>
          <w:tcPr>
            <w:tcW w:w="120" w:type="dxa"/>
            <w:vAlign w:val="bottom"/>
            <w:tcBorders>
              <w:bottom w:val="single" w:sz="8" w:color="DBDBDB"/>
            </w:tcBorders>
          </w:tcPr>
          <w:p>
            <w:pPr>
              <w:spacing w:after="0"/>
              <w:rPr>
                <w:sz w:val="14"/>
                <w:szCs w:val="14"/>
                <w:color w:val="auto"/>
              </w:rPr>
            </w:pPr>
          </w:p>
        </w:tc>
        <w:tc>
          <w:tcPr>
            <w:tcW w:w="1520" w:type="dxa"/>
            <w:vAlign w:val="bottom"/>
            <w:tcBorders>
              <w:bottom w:val="single" w:sz="8" w:color="929292"/>
            </w:tcBorders>
          </w:tcPr>
          <w:p>
            <w:pPr>
              <w:jc w:val="right"/>
              <w:ind w:right="600"/>
              <w:spacing w:after="0"/>
              <w:rPr>
                <w:sz w:val="20"/>
                <w:szCs w:val="20"/>
                <w:color w:val="auto"/>
              </w:rPr>
            </w:pPr>
            <w:r>
              <w:rPr>
                <w:rFonts w:ascii="Arial" w:cs="Arial" w:eastAsia="Arial" w:hAnsi="Arial"/>
                <w:sz w:val="12"/>
                <w:szCs w:val="12"/>
                <w:b w:val="1"/>
                <w:bCs w:val="1"/>
                <w:color w:val="05445E"/>
              </w:rPr>
              <w:t>(%)</w:t>
            </w:r>
          </w:p>
        </w:tc>
      </w:tr>
      <w:tr>
        <w:trPr>
          <w:trHeight w:val="174"/>
        </w:trPr>
        <w:tc>
          <w:tcPr>
            <w:tcW w:w="26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Average Adjusted ROIC</w:t>
            </w:r>
          </w:p>
        </w:tc>
        <w:tc>
          <w:tcPr>
            <w:tcW w:w="1120" w:type="dxa"/>
            <w:vAlign w:val="bottom"/>
            <w:shd w:val="clear" w:color="auto" w:fill="DBDBDB"/>
          </w:tcPr>
          <w:p>
            <w:pPr>
              <w:jc w:val="right"/>
              <w:ind w:right="320"/>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60"/>
              <w:spacing w:after="0"/>
              <w:rPr>
                <w:sz w:val="20"/>
                <w:szCs w:val="20"/>
                <w:color w:val="auto"/>
              </w:rPr>
            </w:pPr>
            <w:r>
              <w:rPr>
                <w:rFonts w:ascii="Arial" w:cs="Arial" w:eastAsia="Arial" w:hAnsi="Arial"/>
                <w:sz w:val="12"/>
                <w:szCs w:val="12"/>
                <w:color w:val="auto"/>
              </w:rPr>
              <w:t>12.00</w:t>
            </w:r>
          </w:p>
        </w:tc>
        <w:tc>
          <w:tcPr>
            <w:tcW w:w="140" w:type="dxa"/>
            <w:vAlign w:val="bottom"/>
            <w:shd w:val="clear" w:color="auto" w:fill="DBDBDB"/>
          </w:tcPr>
          <w:p>
            <w:pPr>
              <w:spacing w:after="0"/>
              <w:rPr>
                <w:sz w:val="15"/>
                <w:szCs w:val="15"/>
                <w:color w:val="auto"/>
              </w:rPr>
            </w:pPr>
          </w:p>
        </w:tc>
        <w:tc>
          <w:tcPr>
            <w:tcW w:w="1220" w:type="dxa"/>
            <w:vAlign w:val="bottom"/>
            <w:shd w:val="clear" w:color="auto" w:fill="DBDBDB"/>
          </w:tcPr>
          <w:p>
            <w:pPr>
              <w:jc w:val="right"/>
              <w:ind w:right="400"/>
              <w:spacing w:after="0"/>
              <w:rPr>
                <w:sz w:val="20"/>
                <w:szCs w:val="20"/>
                <w:color w:val="auto"/>
              </w:rPr>
            </w:pPr>
            <w:r>
              <w:rPr>
                <w:rFonts w:ascii="Arial" w:cs="Arial" w:eastAsia="Arial" w:hAnsi="Arial"/>
                <w:sz w:val="12"/>
                <w:szCs w:val="12"/>
                <w:color w:val="auto"/>
              </w:rPr>
              <w:t>14.64</w:t>
            </w:r>
          </w:p>
        </w:tc>
        <w:tc>
          <w:tcPr>
            <w:tcW w:w="120" w:type="dxa"/>
            <w:vAlign w:val="bottom"/>
            <w:shd w:val="clear" w:color="auto" w:fill="DBDBDB"/>
          </w:tcPr>
          <w:p>
            <w:pPr>
              <w:spacing w:after="0"/>
              <w:rPr>
                <w:sz w:val="15"/>
                <w:szCs w:val="15"/>
                <w:color w:val="auto"/>
              </w:rPr>
            </w:pPr>
          </w:p>
        </w:tc>
        <w:tc>
          <w:tcPr>
            <w:tcW w:w="1220" w:type="dxa"/>
            <w:vAlign w:val="bottom"/>
            <w:shd w:val="clear" w:color="auto" w:fill="DBDBDB"/>
          </w:tcPr>
          <w:p>
            <w:pPr>
              <w:jc w:val="right"/>
              <w:ind w:right="400"/>
              <w:spacing w:after="0"/>
              <w:rPr>
                <w:sz w:val="20"/>
                <w:szCs w:val="20"/>
                <w:color w:val="auto"/>
              </w:rPr>
            </w:pPr>
            <w:r>
              <w:rPr>
                <w:rFonts w:ascii="Arial" w:cs="Arial" w:eastAsia="Arial" w:hAnsi="Arial"/>
                <w:sz w:val="12"/>
                <w:szCs w:val="12"/>
                <w:color w:val="auto"/>
              </w:rPr>
              <w:t>15.50</w:t>
            </w:r>
          </w:p>
        </w:tc>
        <w:tc>
          <w:tcPr>
            <w:tcW w:w="80" w:type="dxa"/>
            <w:vAlign w:val="bottom"/>
            <w:shd w:val="clear" w:color="auto" w:fill="DBDBDB"/>
          </w:tcPr>
          <w:p>
            <w:pPr>
              <w:spacing w:after="0"/>
              <w:rPr>
                <w:sz w:val="15"/>
                <w:szCs w:val="15"/>
                <w:color w:val="auto"/>
              </w:rPr>
            </w:pPr>
          </w:p>
        </w:tc>
        <w:tc>
          <w:tcPr>
            <w:tcW w:w="1500" w:type="dxa"/>
            <w:vAlign w:val="bottom"/>
            <w:shd w:val="clear" w:color="auto" w:fill="DBDBDB"/>
          </w:tcPr>
          <w:p>
            <w:pPr>
              <w:jc w:val="right"/>
              <w:ind w:right="540"/>
              <w:spacing w:after="0"/>
              <w:rPr>
                <w:sz w:val="20"/>
                <w:szCs w:val="20"/>
                <w:color w:val="auto"/>
              </w:rPr>
            </w:pPr>
            <w:r>
              <w:rPr>
                <w:rFonts w:ascii="Arial" w:cs="Arial" w:eastAsia="Arial" w:hAnsi="Arial"/>
                <w:sz w:val="12"/>
                <w:szCs w:val="12"/>
                <w:color w:val="auto"/>
              </w:rPr>
              <w:t>13.78</w:t>
            </w:r>
          </w:p>
        </w:tc>
        <w:tc>
          <w:tcPr>
            <w:tcW w:w="12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540"/>
              <w:spacing w:after="0"/>
              <w:rPr>
                <w:sz w:val="20"/>
                <w:szCs w:val="20"/>
                <w:color w:val="auto"/>
              </w:rPr>
            </w:pPr>
            <w:r>
              <w:rPr>
                <w:rFonts w:ascii="Arial" w:cs="Arial" w:eastAsia="Arial" w:hAnsi="Arial"/>
                <w:sz w:val="12"/>
                <w:szCs w:val="12"/>
                <w:color w:val="auto"/>
              </w:rPr>
              <w:t>83.71</w:t>
            </w:r>
          </w:p>
        </w:tc>
      </w:tr>
    </w:tbl>
    <w:p>
      <w:pPr>
        <w:spacing w:after="0" w:line="194"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Adjusted ROIC is a non-GAAP measure which is further defined on page </w:t>
      </w:r>
      <w:r>
        <w:rPr>
          <w:rFonts w:ascii="Arial" w:cs="Arial" w:eastAsia="Arial" w:hAnsi="Arial"/>
          <w:sz w:val="12"/>
          <w:szCs w:val="12"/>
          <w:u w:val="single" w:color="auto"/>
          <w:color w:val="0000FF"/>
        </w:rPr>
        <w:t>36</w:t>
      </w:r>
      <w:r>
        <w:rPr>
          <w:rFonts w:ascii="Arial" w:cs="Arial" w:eastAsia="Arial" w:hAnsi="Arial"/>
          <w:sz w:val="12"/>
          <w:szCs w:val="12"/>
          <w:color w:val="auto"/>
        </w:rPr>
        <w:t>, and reconciled to GAAP net earnings in Appendix A to this Proxy Statement.</w:t>
      </w:r>
    </w:p>
    <w:p>
      <w:pPr>
        <w:spacing w:after="0" w:line="186" w:lineRule="exact"/>
        <w:rPr>
          <w:sz w:val="20"/>
          <w:szCs w:val="20"/>
          <w:color w:val="auto"/>
        </w:rPr>
      </w:pPr>
    </w:p>
    <w:p>
      <w:pPr>
        <w:jc w:val="center"/>
        <w:ind w:right="212"/>
        <w:spacing w:after="0"/>
        <w:rPr>
          <w:sz w:val="20"/>
          <w:szCs w:val="20"/>
          <w:color w:val="auto"/>
        </w:rPr>
      </w:pPr>
      <w:r>
        <w:rPr>
          <w:rFonts w:ascii="Arial" w:cs="Arial" w:eastAsia="Arial" w:hAnsi="Arial"/>
          <w:sz w:val="12"/>
          <w:szCs w:val="12"/>
          <w:b w:val="1"/>
          <w:bCs w:val="1"/>
          <w:color w:val="05445E"/>
        </w:rPr>
        <w:t>Fiscal 2024 – 2026 Performance Share Payout</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05445E"/>
                <w:w w:val="97"/>
              </w:rPr>
              <w:t>Total</w:t>
            </w:r>
          </w:p>
        </w:tc>
      </w:t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05445E"/>
                <w:w w:val="96"/>
              </w:rPr>
              <w:t>Target Level</w:t>
            </w:r>
          </w:p>
        </w:tc>
        <w:tc>
          <w:tcPr>
            <w:tcW w:w="2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05445E"/>
              </w:rPr>
              <w:t>Unearned</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05445E"/>
                <w:w w:val="98"/>
              </w:rPr>
              <w:t>Performance</w:t>
            </w:r>
          </w:p>
        </w:tc>
      </w:tr>
      <w:tr>
        <w:trPr>
          <w:trHeight w:val="141"/>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05445E"/>
              </w:rPr>
              <w:t>of Shares</w:t>
            </w:r>
          </w:p>
        </w:tc>
        <w:tc>
          <w:tcPr>
            <w:tcW w:w="2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05445E"/>
                <w:w w:val="99"/>
              </w:rPr>
              <w:t>Shares Cancelled</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05445E"/>
                <w:w w:val="99"/>
              </w:rPr>
              <w:t>Share Payout</w:t>
            </w:r>
          </w:p>
        </w:tc>
      </w:tr>
      <w:tr>
        <w:trPr>
          <w:trHeight w:val="178"/>
        </w:trPr>
        <w:tc>
          <w:tcPr>
            <w:tcW w:w="426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Name</w:t>
            </w:r>
          </w:p>
        </w:tc>
        <w:tc>
          <w:tcPr>
            <w:tcW w:w="140" w:type="dxa"/>
            <w:vAlign w:val="bottom"/>
            <w:tcBorders>
              <w:bottom w:val="single" w:sz="8" w:color="DBDBDB"/>
            </w:tcBorders>
          </w:tcPr>
          <w:p>
            <w:pPr>
              <w:spacing w:after="0"/>
              <w:rPr>
                <w:sz w:val="15"/>
                <w:szCs w:val="15"/>
                <w:color w:val="auto"/>
              </w:rPr>
            </w:pPr>
          </w:p>
        </w:tc>
        <w:tc>
          <w:tcPr>
            <w:tcW w:w="2200" w:type="dxa"/>
            <w:vAlign w:val="bottom"/>
            <w:tcBorders>
              <w:bottom w:val="single" w:sz="8" w:color="929292"/>
            </w:tcBorders>
          </w:tcPr>
          <w:p>
            <w:pPr>
              <w:jc w:val="center"/>
              <w:ind w:right="140"/>
              <w:spacing w:after="0"/>
              <w:rPr>
                <w:sz w:val="20"/>
                <w:szCs w:val="20"/>
                <w:color w:val="auto"/>
              </w:rPr>
            </w:pPr>
            <w:r>
              <w:rPr>
                <w:rFonts w:ascii="Arial" w:cs="Arial" w:eastAsia="Arial" w:hAnsi="Arial"/>
                <w:sz w:val="12"/>
                <w:szCs w:val="12"/>
                <w:b w:val="1"/>
                <w:bCs w:val="1"/>
                <w:color w:val="05445E"/>
              </w:rPr>
              <w:t>(#)</w:t>
            </w:r>
          </w:p>
        </w:tc>
        <w:tc>
          <w:tcPr>
            <w:tcW w:w="240" w:type="dxa"/>
            <w:vAlign w:val="bottom"/>
            <w:tcBorders>
              <w:bottom w:val="single" w:sz="8" w:color="DBDBDB"/>
            </w:tcBorders>
          </w:tcPr>
          <w:p>
            <w:pPr>
              <w:spacing w:after="0"/>
              <w:rPr>
                <w:sz w:val="15"/>
                <w:szCs w:val="15"/>
                <w:color w:val="auto"/>
              </w:rPr>
            </w:pPr>
          </w:p>
        </w:tc>
        <w:tc>
          <w:tcPr>
            <w:tcW w:w="200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rPr>
              <w:t>(#)</w:t>
            </w:r>
          </w:p>
        </w:tc>
        <w:tc>
          <w:tcPr>
            <w:tcW w:w="240" w:type="dxa"/>
            <w:vAlign w:val="bottom"/>
            <w:tcBorders>
              <w:bottom w:val="single" w:sz="8" w:color="DBDBDB"/>
            </w:tcBorders>
          </w:tcPr>
          <w:p>
            <w:pPr>
              <w:spacing w:after="0"/>
              <w:rPr>
                <w:sz w:val="15"/>
                <w:szCs w:val="15"/>
                <w:color w:val="auto"/>
              </w:rPr>
            </w:pPr>
          </w:p>
        </w:tc>
        <w:tc>
          <w:tcPr>
            <w:tcW w:w="200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89"/>
              </w:rPr>
              <w:t>(#)</w:t>
            </w:r>
            <w:r>
              <w:rPr>
                <w:rFonts w:ascii="Arial" w:cs="Arial" w:eastAsia="Arial" w:hAnsi="Arial"/>
                <w:sz w:val="15"/>
                <w:szCs w:val="15"/>
                <w:b w:val="1"/>
                <w:bCs w:val="1"/>
                <w:color w:val="05445E"/>
                <w:w w:val="89"/>
                <w:vertAlign w:val="superscript"/>
              </w:rPr>
              <w:t>(1)</w:t>
            </w:r>
          </w:p>
        </w:tc>
      </w:tr>
      <w:tr>
        <w:trPr>
          <w:trHeight w:val="169"/>
        </w:trPr>
        <w:tc>
          <w:tcPr>
            <w:tcW w:w="4400" w:type="dxa"/>
            <w:vAlign w:val="bottom"/>
            <w:gridSpan w:val="2"/>
            <w:shd w:val="clear" w:color="auto" w:fill="DBDBDB"/>
          </w:tcPr>
          <w:p>
            <w:pPr>
              <w:spacing w:after="0" w:line="169" w:lineRule="exact"/>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(2)</w:t>
            </w:r>
          </w:p>
        </w:tc>
        <w:tc>
          <w:tcPr>
            <w:tcW w:w="2440" w:type="dxa"/>
            <w:vAlign w:val="bottom"/>
            <w:gridSpan w:val="2"/>
            <w:shd w:val="clear" w:color="auto" w:fill="DBDBDB"/>
          </w:tcPr>
          <w:p>
            <w:pPr>
              <w:jc w:val="center"/>
              <w:ind w:right="440"/>
              <w:spacing w:after="0"/>
              <w:rPr>
                <w:sz w:val="20"/>
                <w:szCs w:val="20"/>
                <w:color w:val="auto"/>
              </w:rPr>
            </w:pPr>
            <w:r>
              <w:rPr>
                <w:rFonts w:ascii="Arial" w:cs="Arial" w:eastAsia="Arial" w:hAnsi="Arial"/>
                <w:sz w:val="12"/>
                <w:szCs w:val="12"/>
                <w:color w:val="auto"/>
                <w:w w:val="99"/>
              </w:rPr>
              <w:t>N/A</w:t>
            </w:r>
          </w:p>
        </w:tc>
        <w:tc>
          <w:tcPr>
            <w:tcW w:w="2240" w:type="dxa"/>
            <w:vAlign w:val="bottom"/>
            <w:gridSpan w:val="2"/>
            <w:shd w:val="clear" w:color="auto" w:fill="DBDBDB"/>
          </w:tcPr>
          <w:p>
            <w:pPr>
              <w:jc w:val="center"/>
              <w:ind w:right="240"/>
              <w:spacing w:after="0"/>
              <w:rPr>
                <w:sz w:val="20"/>
                <w:szCs w:val="20"/>
                <w:color w:val="auto"/>
              </w:rPr>
            </w:pPr>
            <w:r>
              <w:rPr>
                <w:rFonts w:ascii="Arial" w:cs="Arial" w:eastAsia="Arial" w:hAnsi="Arial"/>
                <w:sz w:val="12"/>
                <w:szCs w:val="12"/>
                <w:color w:val="auto"/>
                <w:w w:val="99"/>
              </w:rPr>
              <w:t>N/A</w:t>
            </w:r>
          </w:p>
        </w:tc>
        <w:tc>
          <w:tcPr>
            <w:tcW w:w="20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N/A</w:t>
            </w:r>
          </w:p>
        </w:tc>
      </w:tr>
      <w:tr>
        <w:trPr>
          <w:trHeight w:val="172"/>
        </w:trPr>
        <w:tc>
          <w:tcPr>
            <w:tcW w:w="4400" w:type="dxa"/>
            <w:vAlign w:val="bottom"/>
            <w:gridSpan w:val="2"/>
          </w:tcPr>
          <w:p>
            <w:pPr>
              <w:spacing w:after="0"/>
              <w:rPr>
                <w:sz w:val="20"/>
                <w:szCs w:val="20"/>
                <w:color w:val="auto"/>
              </w:rPr>
            </w:pPr>
            <w:r>
              <w:rPr>
                <w:rFonts w:ascii="Arial" w:cs="Arial" w:eastAsia="Arial" w:hAnsi="Arial"/>
                <w:sz w:val="12"/>
                <w:szCs w:val="12"/>
                <w:color w:val="auto"/>
              </w:rPr>
              <w:t>Mark R. Augdahl</w:t>
            </w:r>
          </w:p>
        </w:tc>
        <w:tc>
          <w:tcPr>
            <w:tcW w:w="2200" w:type="dxa"/>
            <w:vAlign w:val="bottom"/>
          </w:tcPr>
          <w:p>
            <w:pPr>
              <w:jc w:val="center"/>
              <w:ind w:right="120"/>
              <w:spacing w:after="0"/>
              <w:rPr>
                <w:sz w:val="20"/>
                <w:szCs w:val="20"/>
                <w:color w:val="auto"/>
              </w:rPr>
            </w:pPr>
            <w:r>
              <w:rPr>
                <w:rFonts w:ascii="Arial" w:cs="Arial" w:eastAsia="Arial" w:hAnsi="Arial"/>
                <w:sz w:val="12"/>
                <w:szCs w:val="12"/>
                <w:color w:val="auto"/>
                <w:w w:val="99"/>
              </w:rPr>
              <w:t>1,081</w:t>
            </w:r>
          </w:p>
        </w:tc>
        <w:tc>
          <w:tcPr>
            <w:tcW w:w="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9"/>
              </w:rPr>
              <w:t>176</w:t>
            </w:r>
          </w:p>
        </w:tc>
        <w:tc>
          <w:tcPr>
            <w:tcW w:w="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9"/>
              </w:rPr>
              <w:t>905</w:t>
            </w:r>
          </w:p>
        </w:tc>
      </w:tr>
      <w:tr>
        <w:trPr>
          <w:trHeight w:val="188"/>
        </w:trPr>
        <w:tc>
          <w:tcPr>
            <w:tcW w:w="440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Troy R. Johnson</w:t>
            </w:r>
          </w:p>
        </w:tc>
        <w:tc>
          <w:tcPr>
            <w:tcW w:w="2200" w:type="dxa"/>
            <w:vAlign w:val="bottom"/>
            <w:shd w:val="clear" w:color="auto" w:fill="DBDBDB"/>
          </w:tcPr>
          <w:p>
            <w:pPr>
              <w:jc w:val="center"/>
              <w:ind w:right="120"/>
              <w:spacing w:after="0"/>
              <w:rPr>
                <w:sz w:val="20"/>
                <w:szCs w:val="20"/>
                <w:color w:val="auto"/>
              </w:rPr>
            </w:pPr>
            <w:r>
              <w:rPr>
                <w:rFonts w:ascii="Arial" w:cs="Arial" w:eastAsia="Arial" w:hAnsi="Arial"/>
                <w:sz w:val="12"/>
                <w:szCs w:val="12"/>
                <w:color w:val="auto"/>
                <w:w w:val="99"/>
              </w:rPr>
              <w:t>2,849</w:t>
            </w:r>
          </w:p>
        </w:tc>
        <w:tc>
          <w:tcPr>
            <w:tcW w:w="240" w:type="dxa"/>
            <w:vAlign w:val="bottom"/>
            <w:shd w:val="clear" w:color="auto" w:fill="DBDBDB"/>
          </w:tcPr>
          <w:p>
            <w:pPr>
              <w:spacing w:after="0"/>
              <w:rPr>
                <w:sz w:val="16"/>
                <w:szCs w:val="16"/>
                <w:color w:val="auto"/>
              </w:rPr>
            </w:pPr>
          </w:p>
        </w:tc>
        <w:tc>
          <w:tcPr>
            <w:tcW w:w="20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464</w:t>
            </w:r>
          </w:p>
        </w:tc>
        <w:tc>
          <w:tcPr>
            <w:tcW w:w="240" w:type="dxa"/>
            <w:vAlign w:val="bottom"/>
            <w:shd w:val="clear" w:color="auto" w:fill="DBDBDB"/>
          </w:tcPr>
          <w:p>
            <w:pPr>
              <w:spacing w:after="0"/>
              <w:rPr>
                <w:sz w:val="16"/>
                <w:szCs w:val="16"/>
                <w:color w:val="auto"/>
              </w:rPr>
            </w:pPr>
          </w:p>
        </w:tc>
        <w:tc>
          <w:tcPr>
            <w:tcW w:w="20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2,385</w:t>
            </w:r>
          </w:p>
        </w:tc>
      </w:tr>
      <w:tr>
        <w:trPr>
          <w:trHeight w:val="180"/>
        </w:trPr>
        <w:tc>
          <w:tcPr>
            <w:tcW w:w="4400" w:type="dxa"/>
            <w:vAlign w:val="bottom"/>
            <w:gridSpan w:val="2"/>
          </w:tcPr>
          <w:p>
            <w:pPr>
              <w:spacing w:after="0"/>
              <w:rPr>
                <w:sz w:val="20"/>
                <w:szCs w:val="20"/>
                <w:color w:val="auto"/>
              </w:rPr>
            </w:pPr>
            <w:r>
              <w:rPr>
                <w:rFonts w:ascii="Arial" w:cs="Arial" w:eastAsia="Arial" w:hAnsi="Arial"/>
                <w:sz w:val="12"/>
                <w:szCs w:val="12"/>
                <w:color w:val="auto"/>
              </w:rPr>
              <w:t>Veena M. Lakkundi</w:t>
            </w:r>
            <w:r>
              <w:rPr>
                <w:rFonts w:ascii="Arial" w:cs="Arial" w:eastAsia="Arial" w:hAnsi="Arial"/>
                <w:sz w:val="15"/>
                <w:szCs w:val="15"/>
                <w:color w:val="auto"/>
                <w:vertAlign w:val="superscript"/>
              </w:rPr>
              <w:t>(3)</w:t>
            </w:r>
          </w:p>
        </w:tc>
        <w:tc>
          <w:tcPr>
            <w:tcW w:w="2440" w:type="dxa"/>
            <w:vAlign w:val="bottom"/>
            <w:gridSpan w:val="2"/>
          </w:tcPr>
          <w:p>
            <w:pPr>
              <w:jc w:val="center"/>
              <w:ind w:right="440"/>
              <w:spacing w:after="0"/>
              <w:rPr>
                <w:sz w:val="20"/>
                <w:szCs w:val="20"/>
                <w:color w:val="auto"/>
              </w:rPr>
            </w:pPr>
            <w:r>
              <w:rPr>
                <w:rFonts w:ascii="Arial" w:cs="Arial" w:eastAsia="Arial" w:hAnsi="Arial"/>
                <w:sz w:val="12"/>
                <w:szCs w:val="12"/>
                <w:color w:val="auto"/>
                <w:w w:val="99"/>
              </w:rPr>
              <w:t>N/A</w:t>
            </w:r>
          </w:p>
        </w:tc>
        <w:tc>
          <w:tcPr>
            <w:tcW w:w="2240" w:type="dxa"/>
            <w:vAlign w:val="bottom"/>
            <w:gridSpan w:val="2"/>
          </w:tcPr>
          <w:p>
            <w:pPr>
              <w:jc w:val="center"/>
              <w:ind w:right="240"/>
              <w:spacing w:after="0"/>
              <w:rPr>
                <w:sz w:val="20"/>
                <w:szCs w:val="20"/>
                <w:color w:val="auto"/>
              </w:rPr>
            </w:pPr>
            <w:r>
              <w:rPr>
                <w:rFonts w:ascii="Arial" w:cs="Arial" w:eastAsia="Arial" w:hAnsi="Arial"/>
                <w:sz w:val="12"/>
                <w:szCs w:val="12"/>
                <w:color w:val="auto"/>
                <w:w w:val="99"/>
              </w:rPr>
              <w:t>N/A</w:t>
            </w:r>
          </w:p>
        </w:tc>
        <w:tc>
          <w:tcPr>
            <w:tcW w:w="2000" w:type="dxa"/>
            <w:vAlign w:val="bottom"/>
          </w:tcPr>
          <w:p>
            <w:pPr>
              <w:jc w:val="center"/>
              <w:spacing w:after="0"/>
              <w:rPr>
                <w:sz w:val="20"/>
                <w:szCs w:val="20"/>
                <w:color w:val="auto"/>
              </w:rPr>
            </w:pPr>
            <w:r>
              <w:rPr>
                <w:rFonts w:ascii="Arial" w:cs="Arial" w:eastAsia="Arial" w:hAnsi="Arial"/>
                <w:sz w:val="12"/>
                <w:szCs w:val="12"/>
                <w:color w:val="auto"/>
                <w:w w:val="99"/>
              </w:rPr>
              <w:t>N/A</w:t>
            </w:r>
          </w:p>
        </w:tc>
      </w:tr>
      <w:tr>
        <w:trPr>
          <w:trHeight w:val="180"/>
        </w:trPr>
        <w:tc>
          <w:tcPr>
            <w:tcW w:w="440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Brent C Jewell</w:t>
            </w:r>
          </w:p>
        </w:tc>
        <w:tc>
          <w:tcPr>
            <w:tcW w:w="2200" w:type="dxa"/>
            <w:vAlign w:val="bottom"/>
            <w:shd w:val="clear" w:color="auto" w:fill="DBDBDB"/>
          </w:tcPr>
          <w:p>
            <w:pPr>
              <w:jc w:val="right"/>
              <w:ind w:right="1480"/>
              <w:spacing w:after="0"/>
              <w:rPr>
                <w:sz w:val="20"/>
                <w:szCs w:val="20"/>
                <w:color w:val="auto"/>
              </w:rPr>
            </w:pPr>
            <w:r>
              <w:rPr>
                <w:rFonts w:ascii="Arial" w:cs="Arial" w:eastAsia="Arial" w:hAnsi="Arial"/>
                <w:sz w:val="12"/>
                <w:szCs w:val="12"/>
                <w:color w:val="auto"/>
              </w:rPr>
              <w:t>3,019</w:t>
            </w:r>
          </w:p>
        </w:tc>
        <w:tc>
          <w:tcPr>
            <w:tcW w:w="240" w:type="dxa"/>
            <w:vAlign w:val="bottom"/>
            <w:shd w:val="clear" w:color="auto" w:fill="DBDBDB"/>
          </w:tcPr>
          <w:p>
            <w:pPr>
              <w:spacing w:after="0"/>
              <w:rPr>
                <w:sz w:val="15"/>
                <w:szCs w:val="15"/>
                <w:color w:val="auto"/>
              </w:rPr>
            </w:pPr>
          </w:p>
        </w:tc>
        <w:tc>
          <w:tcPr>
            <w:tcW w:w="20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492</w:t>
            </w:r>
          </w:p>
        </w:tc>
        <w:tc>
          <w:tcPr>
            <w:tcW w:w="240" w:type="dxa"/>
            <w:vAlign w:val="bottom"/>
            <w:shd w:val="clear" w:color="auto" w:fill="DBDBDB"/>
          </w:tcPr>
          <w:p>
            <w:pPr>
              <w:spacing w:after="0"/>
              <w:rPr>
                <w:sz w:val="15"/>
                <w:szCs w:val="15"/>
                <w:color w:val="auto"/>
              </w:rPr>
            </w:pPr>
          </w:p>
        </w:tc>
        <w:tc>
          <w:tcPr>
            <w:tcW w:w="20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2,527</w:t>
            </w:r>
          </w:p>
        </w:tc>
      </w:tr>
      <w:tr>
        <w:trPr>
          <w:trHeight w:val="180"/>
        </w:trPr>
        <w:tc>
          <w:tcPr>
            <w:tcW w:w="4400" w:type="dxa"/>
            <w:vAlign w:val="bottom"/>
            <w:gridSpan w:val="2"/>
          </w:tcPr>
          <w:p>
            <w:pPr>
              <w:spacing w:after="0"/>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(4)</w:t>
            </w:r>
          </w:p>
        </w:tc>
        <w:tc>
          <w:tcPr>
            <w:tcW w:w="2200" w:type="dxa"/>
            <w:vAlign w:val="bottom"/>
          </w:tcPr>
          <w:p>
            <w:pPr>
              <w:jc w:val="center"/>
              <w:ind w:right="140"/>
              <w:spacing w:after="0"/>
              <w:rPr>
                <w:sz w:val="20"/>
                <w:szCs w:val="20"/>
                <w:color w:val="auto"/>
              </w:rPr>
            </w:pPr>
            <w:r>
              <w:rPr>
                <w:rFonts w:ascii="Arial" w:cs="Arial" w:eastAsia="Arial" w:hAnsi="Arial"/>
                <w:sz w:val="12"/>
                <w:szCs w:val="12"/>
                <w:color w:val="auto"/>
                <w:w w:val="97"/>
              </w:rPr>
              <w:t>16,867</w:t>
            </w:r>
          </w:p>
        </w:tc>
        <w:tc>
          <w:tcPr>
            <w:tcW w:w="240" w:type="dxa"/>
            <w:vAlign w:val="bottom"/>
          </w:tcPr>
          <w:p>
            <w:pPr>
              <w:spacing w:after="0"/>
              <w:rPr>
                <w:sz w:val="15"/>
                <w:szCs w:val="15"/>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2"/>
                <w:szCs w:val="12"/>
                <w:color w:val="auto"/>
                <w:w w:val="99"/>
              </w:rPr>
              <w:t>—</w:t>
            </w:r>
          </w:p>
        </w:tc>
        <w:tc>
          <w:tcPr>
            <w:tcW w:w="2000" w:type="dxa"/>
            <w:vAlign w:val="bottom"/>
          </w:tcPr>
          <w:p>
            <w:pPr>
              <w:jc w:val="center"/>
              <w:spacing w:after="0"/>
              <w:rPr>
                <w:sz w:val="20"/>
                <w:szCs w:val="20"/>
                <w:color w:val="auto"/>
              </w:rPr>
            </w:pPr>
            <w:r>
              <w:rPr>
                <w:rFonts w:ascii="Arial" w:cs="Arial" w:eastAsia="Arial" w:hAnsi="Arial"/>
                <w:sz w:val="12"/>
                <w:szCs w:val="12"/>
                <w:color w:val="auto"/>
                <w:w w:val="97"/>
              </w:rPr>
              <w:t>16,867</w:t>
            </w:r>
          </w:p>
        </w:tc>
      </w:tr>
      <w:tr>
        <w:trPr>
          <w:trHeight w:val="180"/>
        </w:trPr>
        <w:tc>
          <w:tcPr>
            <w:tcW w:w="440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(5)</w:t>
            </w:r>
          </w:p>
        </w:tc>
        <w:tc>
          <w:tcPr>
            <w:tcW w:w="2440" w:type="dxa"/>
            <w:vAlign w:val="bottom"/>
            <w:gridSpan w:val="2"/>
            <w:shd w:val="clear" w:color="auto" w:fill="DBDBDB"/>
          </w:tcPr>
          <w:p>
            <w:pPr>
              <w:jc w:val="center"/>
              <w:ind w:right="440"/>
              <w:spacing w:after="0"/>
              <w:rPr>
                <w:sz w:val="20"/>
                <w:szCs w:val="20"/>
                <w:color w:val="auto"/>
              </w:rPr>
            </w:pPr>
            <w:r>
              <w:rPr>
                <w:rFonts w:ascii="Arial" w:cs="Arial" w:eastAsia="Arial" w:hAnsi="Arial"/>
                <w:sz w:val="12"/>
                <w:szCs w:val="12"/>
                <w:color w:val="auto"/>
                <w:w w:val="99"/>
              </w:rPr>
              <w:t>N/A</w:t>
            </w:r>
          </w:p>
        </w:tc>
        <w:tc>
          <w:tcPr>
            <w:tcW w:w="2240" w:type="dxa"/>
            <w:vAlign w:val="bottom"/>
            <w:gridSpan w:val="2"/>
            <w:shd w:val="clear" w:color="auto" w:fill="DBDBDB"/>
          </w:tcPr>
          <w:p>
            <w:pPr>
              <w:jc w:val="center"/>
              <w:ind w:right="240"/>
              <w:spacing w:after="0"/>
              <w:rPr>
                <w:sz w:val="20"/>
                <w:szCs w:val="20"/>
                <w:color w:val="auto"/>
              </w:rPr>
            </w:pPr>
            <w:r>
              <w:rPr>
                <w:rFonts w:ascii="Arial" w:cs="Arial" w:eastAsia="Arial" w:hAnsi="Arial"/>
                <w:sz w:val="12"/>
                <w:szCs w:val="12"/>
                <w:color w:val="auto"/>
                <w:w w:val="99"/>
              </w:rPr>
              <w:t>N/A</w:t>
            </w:r>
          </w:p>
        </w:tc>
        <w:tc>
          <w:tcPr>
            <w:tcW w:w="20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N/A</w:t>
            </w:r>
          </w:p>
        </w:tc>
      </w:tr>
      <w:tr>
        <w:trPr>
          <w:trHeight w:val="211"/>
        </w:trPr>
        <w:tc>
          <w:tcPr>
            <w:tcW w:w="4260" w:type="dxa"/>
            <w:vAlign w:val="bottom"/>
          </w:tcPr>
          <w:p>
            <w:pPr>
              <w:spacing w:after="0"/>
              <w:rPr>
                <w:sz w:val="20"/>
                <w:szCs w:val="20"/>
                <w:color w:val="auto"/>
              </w:rPr>
            </w:pPr>
            <w:r>
              <w:rPr>
                <w:rFonts w:ascii="Arial" w:cs="Arial" w:eastAsia="Arial" w:hAnsi="Arial"/>
                <w:sz w:val="7"/>
                <w:szCs w:val="7"/>
                <w:color w:val="auto"/>
              </w:rPr>
              <w:t>___________________________</w:t>
            </w: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64" w:lineRule="exact"/>
        <w:rPr>
          <w:sz w:val="20"/>
          <w:szCs w:val="20"/>
          <w:color w:val="auto"/>
        </w:rPr>
      </w:pPr>
    </w:p>
    <w:p>
      <w:pPr>
        <w:ind w:left="308" w:hanging="308"/>
        <w:spacing w:after="0"/>
        <w:tabs>
          <w:tab w:leader="none" w:pos="3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Equals the "Target Level of Shares" column minus the "Unearned Shares Cancelled" column.</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Nolan was appointed Chief Executive Officer at the closed of business on October 31, 2025, during fiscal 2026, so he did not receive this performance award.</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Ms. Lakkundi was hired on January 6, 2025, during fiscal 2025, so she did not receive this performance award.</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As part of his Separation Agreement, Mr. Silberhorn received a payout of this performance award at Target performance.</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and he forfeited this performance award.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53" w:name="page54"/>
    <w:bookmarkEnd w:id="53"/>
    <w:p>
      <w:pPr>
        <w:jc w:val="center"/>
        <w:ind w:right="92"/>
        <w:spacing w:after="0"/>
        <w:rPr>
          <w:sz w:val="20"/>
          <w:szCs w:val="20"/>
          <w:color w:val="auto"/>
        </w:rPr>
      </w:pPr>
      <w:r>
        <w:rPr>
          <w:rFonts w:ascii="Arial" w:cs="Arial" w:eastAsia="Arial" w:hAnsi="Arial"/>
          <w:sz w:val="12"/>
          <w:szCs w:val="12"/>
          <w:b w:val="1"/>
          <w:bCs w:val="1"/>
          <w:color w:val="auto"/>
        </w:rPr>
        <w:t>Fiscal 2024 – 2026 Performance Cash Payout</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left="860"/>
              <w:spacing w:after="0"/>
              <w:rPr>
                <w:sz w:val="20"/>
                <w:szCs w:val="20"/>
                <w:color w:val="auto"/>
              </w:rPr>
            </w:pPr>
            <w:r>
              <w:rPr>
                <w:rFonts w:ascii="Arial" w:cs="Arial" w:eastAsia="Arial" w:hAnsi="Arial"/>
                <w:sz w:val="12"/>
                <w:szCs w:val="12"/>
                <w:b w:val="1"/>
                <w:bCs w:val="1"/>
                <w:color w:val="05445E"/>
                <w:w w:val="98"/>
              </w:rPr>
              <w:t>Target</w:t>
            </w: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left="820"/>
              <w:spacing w:after="0"/>
              <w:rPr>
                <w:sz w:val="20"/>
                <w:szCs w:val="20"/>
                <w:color w:val="auto"/>
              </w:rPr>
            </w:pPr>
            <w:r>
              <w:rPr>
                <w:rFonts w:ascii="Arial" w:cs="Arial" w:eastAsia="Arial" w:hAnsi="Arial"/>
                <w:sz w:val="12"/>
                <w:szCs w:val="12"/>
                <w:b w:val="1"/>
                <w:bCs w:val="1"/>
                <w:color w:val="05445E"/>
              </w:rPr>
              <w:t>Amount</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r>
      <w:tr>
        <w:trPr>
          <w:trHeight w:val="141"/>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left="840"/>
              <w:spacing w:after="0"/>
              <w:rPr>
                <w:sz w:val="20"/>
                <w:szCs w:val="20"/>
                <w:color w:val="auto"/>
              </w:rPr>
            </w:pPr>
            <w:r>
              <w:rPr>
                <w:rFonts w:ascii="Arial" w:cs="Arial" w:eastAsia="Arial" w:hAnsi="Arial"/>
                <w:sz w:val="12"/>
                <w:szCs w:val="12"/>
                <w:b w:val="1"/>
                <w:bCs w:val="1"/>
                <w:color w:val="05445E"/>
                <w:w w:val="97"/>
              </w:rPr>
              <w:t>Level</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left="840"/>
              <w:spacing w:after="0"/>
              <w:rPr>
                <w:sz w:val="20"/>
                <w:szCs w:val="20"/>
                <w:color w:val="auto"/>
              </w:rPr>
            </w:pPr>
            <w:r>
              <w:rPr>
                <w:rFonts w:ascii="Arial" w:cs="Arial" w:eastAsia="Arial" w:hAnsi="Arial"/>
                <w:sz w:val="12"/>
                <w:szCs w:val="12"/>
                <w:b w:val="1"/>
                <w:bCs w:val="1"/>
                <w:color w:val="05445E"/>
              </w:rPr>
              <w:t>Forfeited</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b w:val="1"/>
                <w:bCs w:val="1"/>
                <w:color w:val="05445E"/>
                <w:w w:val="99"/>
              </w:rPr>
              <w:t>Total Performance Cash Payout</w:t>
            </w:r>
          </w:p>
        </w:tc>
      </w:tr>
      <w:tr>
        <w:trPr>
          <w:trHeight w:val="178"/>
        </w:trPr>
        <w:tc>
          <w:tcPr>
            <w:tcW w:w="314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Name</w:t>
            </w:r>
          </w:p>
        </w:tc>
        <w:tc>
          <w:tcPr>
            <w:tcW w:w="220" w:type="dxa"/>
            <w:vAlign w:val="bottom"/>
            <w:tcBorders>
              <w:bottom w:val="single" w:sz="8" w:color="DBDBDB"/>
            </w:tcBorders>
          </w:tcPr>
          <w:p>
            <w:pPr>
              <w:spacing w:after="0"/>
              <w:rPr>
                <w:sz w:val="15"/>
                <w:szCs w:val="15"/>
                <w:color w:val="auto"/>
              </w:rPr>
            </w:pPr>
          </w:p>
        </w:tc>
        <w:tc>
          <w:tcPr>
            <w:tcW w:w="1520" w:type="dxa"/>
            <w:vAlign w:val="bottom"/>
            <w:tcBorders>
              <w:bottom w:val="single" w:sz="8" w:color="929292"/>
            </w:tcBorders>
          </w:tcPr>
          <w:p>
            <w:pPr>
              <w:jc w:val="right"/>
              <w:ind w:right="160"/>
              <w:spacing w:after="0"/>
              <w:rPr>
                <w:sz w:val="20"/>
                <w:szCs w:val="20"/>
                <w:color w:val="auto"/>
              </w:rPr>
            </w:pPr>
            <w:r>
              <w:rPr>
                <w:rFonts w:ascii="Arial" w:cs="Arial" w:eastAsia="Arial" w:hAnsi="Arial"/>
                <w:sz w:val="12"/>
                <w:szCs w:val="12"/>
                <w:b w:val="1"/>
                <w:bCs w:val="1"/>
                <w:color w:val="05445E"/>
              </w:rPr>
              <w:t>($)</w:t>
            </w:r>
          </w:p>
        </w:tc>
        <w:tc>
          <w:tcPr>
            <w:tcW w:w="940" w:type="dxa"/>
            <w:vAlign w:val="bottom"/>
            <w:tcBorders>
              <w:bottom w:val="single" w:sz="8" w:color="929292"/>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580" w:type="dxa"/>
            <w:vAlign w:val="bottom"/>
            <w:tcBorders>
              <w:bottom w:val="single" w:sz="8" w:color="929292"/>
            </w:tcBorders>
          </w:tcPr>
          <w:p>
            <w:pPr>
              <w:jc w:val="right"/>
              <w:ind w:right="200"/>
              <w:spacing w:after="0"/>
              <w:rPr>
                <w:sz w:val="20"/>
                <w:szCs w:val="20"/>
                <w:color w:val="auto"/>
              </w:rPr>
            </w:pPr>
            <w:r>
              <w:rPr>
                <w:rFonts w:ascii="Arial" w:cs="Arial" w:eastAsia="Arial" w:hAnsi="Arial"/>
                <w:sz w:val="12"/>
                <w:szCs w:val="12"/>
                <w:b w:val="1"/>
                <w:bCs w:val="1"/>
                <w:color w:val="05445E"/>
              </w:rPr>
              <w:t>($)</w:t>
            </w:r>
          </w:p>
        </w:tc>
        <w:tc>
          <w:tcPr>
            <w:tcW w:w="900" w:type="dxa"/>
            <w:vAlign w:val="bottom"/>
            <w:tcBorders>
              <w:bottom w:val="single" w:sz="8" w:color="929292"/>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246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89"/>
              </w:rPr>
              <w:t>($)</w:t>
            </w:r>
            <w:r>
              <w:rPr>
                <w:rFonts w:ascii="Arial" w:cs="Arial" w:eastAsia="Arial" w:hAnsi="Arial"/>
                <w:sz w:val="15"/>
                <w:szCs w:val="15"/>
                <w:b w:val="1"/>
                <w:bCs w:val="1"/>
                <w:color w:val="05445E"/>
                <w:w w:val="89"/>
                <w:vertAlign w:val="superscript"/>
              </w:rPr>
              <w:t>(1)</w:t>
            </w:r>
          </w:p>
        </w:tc>
      </w:tr>
      <w:tr>
        <w:trPr>
          <w:trHeight w:val="169"/>
        </w:trPr>
        <w:tc>
          <w:tcPr>
            <w:tcW w:w="3360" w:type="dxa"/>
            <w:vAlign w:val="bottom"/>
            <w:gridSpan w:val="2"/>
            <w:shd w:val="clear" w:color="auto" w:fill="DBDBDB"/>
          </w:tcPr>
          <w:p>
            <w:pPr>
              <w:spacing w:after="0" w:line="169" w:lineRule="exact"/>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(2)</w:t>
            </w:r>
          </w:p>
        </w:tc>
        <w:tc>
          <w:tcPr>
            <w:tcW w:w="1520" w:type="dxa"/>
            <w:vAlign w:val="bottom"/>
            <w:shd w:val="clear" w:color="auto" w:fill="DBDBDB"/>
          </w:tcPr>
          <w:p>
            <w:pPr>
              <w:jc w:val="center"/>
              <w:ind w:left="900"/>
              <w:spacing w:after="0"/>
              <w:rPr>
                <w:sz w:val="20"/>
                <w:szCs w:val="20"/>
                <w:color w:val="auto"/>
              </w:rPr>
            </w:pPr>
            <w:r>
              <w:rPr>
                <w:rFonts w:ascii="Arial" w:cs="Arial" w:eastAsia="Arial" w:hAnsi="Arial"/>
                <w:sz w:val="12"/>
                <w:szCs w:val="12"/>
                <w:color w:val="auto"/>
                <w:w w:val="99"/>
              </w:rPr>
              <w:t>N/A</w:t>
            </w:r>
          </w:p>
        </w:tc>
        <w:tc>
          <w:tcPr>
            <w:tcW w:w="9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shd w:val="clear" w:color="auto" w:fill="DBDBDB"/>
          </w:tcPr>
          <w:p>
            <w:pPr>
              <w:jc w:val="center"/>
              <w:ind w:left="840"/>
              <w:spacing w:after="0"/>
              <w:rPr>
                <w:sz w:val="20"/>
                <w:szCs w:val="20"/>
                <w:color w:val="auto"/>
              </w:rPr>
            </w:pPr>
            <w:r>
              <w:rPr>
                <w:rFonts w:ascii="Arial" w:cs="Arial" w:eastAsia="Arial" w:hAnsi="Arial"/>
                <w:sz w:val="12"/>
                <w:szCs w:val="12"/>
                <w:color w:val="auto"/>
                <w:w w:val="99"/>
              </w:rPr>
              <w:t>N/A</w:t>
            </w:r>
          </w:p>
        </w:tc>
        <w:tc>
          <w:tcPr>
            <w:tcW w:w="9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24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N/A</w:t>
            </w:r>
          </w:p>
        </w:tc>
      </w:tr>
      <w:tr>
        <w:trPr>
          <w:trHeight w:val="172"/>
        </w:trPr>
        <w:tc>
          <w:tcPr>
            <w:tcW w:w="3360" w:type="dxa"/>
            <w:vAlign w:val="bottom"/>
            <w:gridSpan w:val="2"/>
          </w:tcPr>
          <w:p>
            <w:pPr>
              <w:spacing w:after="0"/>
              <w:rPr>
                <w:sz w:val="20"/>
                <w:szCs w:val="20"/>
                <w:color w:val="auto"/>
              </w:rPr>
            </w:pPr>
            <w:r>
              <w:rPr>
                <w:rFonts w:ascii="Arial" w:cs="Arial" w:eastAsia="Arial" w:hAnsi="Arial"/>
                <w:sz w:val="12"/>
                <w:szCs w:val="12"/>
                <w:color w:val="auto"/>
              </w:rPr>
              <w:t>Mark R. Augdahl</w:t>
            </w:r>
          </w:p>
        </w:tc>
        <w:tc>
          <w:tcPr>
            <w:tcW w:w="1520" w:type="dxa"/>
            <w:vAlign w:val="bottom"/>
          </w:tcPr>
          <w:p>
            <w:pPr>
              <w:spacing w:after="0"/>
              <w:rPr>
                <w:sz w:val="14"/>
                <w:szCs w:val="14"/>
                <w:color w:val="auto"/>
              </w:rPr>
            </w:pPr>
          </w:p>
        </w:tc>
        <w:tc>
          <w:tcPr>
            <w:tcW w:w="940" w:type="dxa"/>
            <w:vAlign w:val="bottom"/>
          </w:tcPr>
          <w:p>
            <w:pPr>
              <w:jc w:val="right"/>
              <w:ind w:right="380"/>
              <w:spacing w:after="0"/>
              <w:rPr>
                <w:sz w:val="20"/>
                <w:szCs w:val="20"/>
                <w:color w:val="auto"/>
              </w:rPr>
            </w:pPr>
            <w:r>
              <w:rPr>
                <w:rFonts w:ascii="Arial" w:cs="Arial" w:eastAsia="Arial" w:hAnsi="Arial"/>
                <w:sz w:val="12"/>
                <w:szCs w:val="12"/>
                <w:color w:val="auto"/>
              </w:rPr>
              <w:t>47,109</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color w:val="auto"/>
              </w:rPr>
              <w:t>7,674</w:t>
            </w:r>
          </w:p>
        </w:tc>
        <w:tc>
          <w:tcPr>
            <w:tcW w:w="2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2"/>
                <w:szCs w:val="12"/>
                <w:color w:val="auto"/>
              </w:rPr>
              <w:t>39,435</w:t>
            </w:r>
          </w:p>
        </w:tc>
      </w:tr>
      <w:tr>
        <w:trPr>
          <w:trHeight w:val="188"/>
        </w:trPr>
        <w:tc>
          <w:tcPr>
            <w:tcW w:w="33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Troy R Johnson</w:t>
            </w:r>
          </w:p>
        </w:tc>
        <w:tc>
          <w:tcPr>
            <w:tcW w:w="152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125,400</w:t>
            </w:r>
          </w:p>
        </w:tc>
        <w:tc>
          <w:tcPr>
            <w:tcW w:w="22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20,428</w:t>
            </w:r>
          </w:p>
        </w:tc>
        <w:tc>
          <w:tcPr>
            <w:tcW w:w="220" w:type="dxa"/>
            <w:vAlign w:val="bottom"/>
            <w:shd w:val="clear" w:color="auto" w:fill="DBDBDB"/>
          </w:tcPr>
          <w:p>
            <w:pPr>
              <w:spacing w:after="0"/>
              <w:rPr>
                <w:sz w:val="16"/>
                <w:szCs w:val="16"/>
                <w:color w:val="auto"/>
              </w:rPr>
            </w:pPr>
          </w:p>
        </w:tc>
        <w:tc>
          <w:tcPr>
            <w:tcW w:w="24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104,972</w:t>
            </w:r>
          </w:p>
        </w:tc>
      </w:tr>
      <w:tr>
        <w:trPr>
          <w:trHeight w:val="180"/>
        </w:trPr>
        <w:tc>
          <w:tcPr>
            <w:tcW w:w="3360" w:type="dxa"/>
            <w:vAlign w:val="bottom"/>
            <w:gridSpan w:val="2"/>
          </w:tcPr>
          <w:p>
            <w:pPr>
              <w:spacing w:after="0"/>
              <w:rPr>
                <w:sz w:val="20"/>
                <w:szCs w:val="20"/>
                <w:color w:val="auto"/>
              </w:rPr>
            </w:pPr>
            <w:r>
              <w:rPr>
                <w:rFonts w:ascii="Arial" w:cs="Arial" w:eastAsia="Arial" w:hAnsi="Arial"/>
                <w:sz w:val="12"/>
                <w:szCs w:val="12"/>
                <w:color w:val="auto"/>
              </w:rPr>
              <w:t>Veena M. Lakkundi</w:t>
            </w:r>
            <w:r>
              <w:rPr>
                <w:rFonts w:ascii="Arial" w:cs="Arial" w:eastAsia="Arial" w:hAnsi="Arial"/>
                <w:sz w:val="15"/>
                <w:szCs w:val="15"/>
                <w:color w:val="auto"/>
                <w:vertAlign w:val="superscript"/>
              </w:rPr>
              <w:t>(3)</w:t>
            </w:r>
          </w:p>
        </w:tc>
        <w:tc>
          <w:tcPr>
            <w:tcW w:w="1520" w:type="dxa"/>
            <w:vAlign w:val="bottom"/>
          </w:tcPr>
          <w:p>
            <w:pPr>
              <w:jc w:val="center"/>
              <w:ind w:left="900"/>
              <w:spacing w:after="0"/>
              <w:rPr>
                <w:sz w:val="20"/>
                <w:szCs w:val="20"/>
                <w:color w:val="auto"/>
              </w:rPr>
            </w:pPr>
            <w:r>
              <w:rPr>
                <w:rFonts w:ascii="Arial" w:cs="Arial" w:eastAsia="Arial" w:hAnsi="Arial"/>
                <w:sz w:val="12"/>
                <w:szCs w:val="12"/>
                <w:color w:val="auto"/>
                <w:w w:val="99"/>
              </w:rPr>
              <w:t>N/A</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left="840"/>
              <w:spacing w:after="0"/>
              <w:rPr>
                <w:sz w:val="20"/>
                <w:szCs w:val="20"/>
                <w:color w:val="auto"/>
              </w:rPr>
            </w:pPr>
            <w:r>
              <w:rPr>
                <w:rFonts w:ascii="Arial" w:cs="Arial" w:eastAsia="Arial" w:hAnsi="Arial"/>
                <w:sz w:val="12"/>
                <w:szCs w:val="12"/>
                <w:color w:val="auto"/>
                <w:w w:val="99"/>
              </w:rPr>
              <w:t>N/A</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2"/>
                <w:szCs w:val="12"/>
                <w:color w:val="auto"/>
                <w:w w:val="99"/>
              </w:rPr>
              <w:t>N/A</w:t>
            </w:r>
          </w:p>
        </w:tc>
      </w:tr>
      <w:tr>
        <w:trPr>
          <w:trHeight w:val="180"/>
        </w:trPr>
        <w:tc>
          <w:tcPr>
            <w:tcW w:w="33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Brent C Jewell</w:t>
            </w:r>
          </w:p>
        </w:tc>
        <w:tc>
          <w:tcPr>
            <w:tcW w:w="1520" w:type="dxa"/>
            <w:vAlign w:val="bottom"/>
            <w:shd w:val="clear" w:color="auto" w:fill="DBDBDB"/>
          </w:tcPr>
          <w:p>
            <w:pPr>
              <w:spacing w:after="0"/>
              <w:rPr>
                <w:sz w:val="15"/>
                <w:szCs w:val="15"/>
                <w:color w:val="auto"/>
              </w:rPr>
            </w:pPr>
          </w:p>
        </w:tc>
        <w:tc>
          <w:tcPr>
            <w:tcW w:w="94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132,900</w:t>
            </w:r>
          </w:p>
        </w:tc>
        <w:tc>
          <w:tcPr>
            <w:tcW w:w="220" w:type="dxa"/>
            <w:vAlign w:val="bottom"/>
            <w:shd w:val="clear" w:color="auto" w:fill="DBDBDB"/>
          </w:tcPr>
          <w:p>
            <w:pPr>
              <w:spacing w:after="0"/>
              <w:rPr>
                <w:sz w:val="15"/>
                <w:szCs w:val="15"/>
                <w:color w:val="auto"/>
              </w:rPr>
            </w:pPr>
          </w:p>
        </w:tc>
        <w:tc>
          <w:tcPr>
            <w:tcW w:w="15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380"/>
              <w:spacing w:after="0"/>
              <w:rPr>
                <w:sz w:val="20"/>
                <w:szCs w:val="20"/>
                <w:color w:val="auto"/>
              </w:rPr>
            </w:pPr>
            <w:r>
              <w:rPr>
                <w:rFonts w:ascii="Arial" w:cs="Arial" w:eastAsia="Arial" w:hAnsi="Arial"/>
                <w:sz w:val="12"/>
                <w:szCs w:val="12"/>
                <w:color w:val="auto"/>
              </w:rPr>
              <w:t>21,649</w:t>
            </w:r>
          </w:p>
        </w:tc>
        <w:tc>
          <w:tcPr>
            <w:tcW w:w="220" w:type="dxa"/>
            <w:vAlign w:val="bottom"/>
            <w:shd w:val="clear" w:color="auto" w:fill="DBDBDB"/>
          </w:tcPr>
          <w:p>
            <w:pPr>
              <w:spacing w:after="0"/>
              <w:rPr>
                <w:sz w:val="15"/>
                <w:szCs w:val="15"/>
                <w:color w:val="auto"/>
              </w:rPr>
            </w:pPr>
          </w:p>
        </w:tc>
        <w:tc>
          <w:tcPr>
            <w:tcW w:w="24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111,251</w:t>
            </w:r>
          </w:p>
        </w:tc>
      </w:tr>
      <w:tr>
        <w:trPr>
          <w:trHeight w:val="180"/>
        </w:trPr>
        <w:tc>
          <w:tcPr>
            <w:tcW w:w="3360" w:type="dxa"/>
            <w:vAlign w:val="bottom"/>
            <w:gridSpan w:val="2"/>
          </w:tcPr>
          <w:p>
            <w:pPr>
              <w:spacing w:after="0"/>
              <w:rPr>
                <w:sz w:val="20"/>
                <w:szCs w:val="20"/>
                <w:color w:val="auto"/>
              </w:rPr>
            </w:pPr>
            <w:r>
              <w:rPr>
                <w:rFonts w:ascii="Arial" w:cs="Arial" w:eastAsia="Arial" w:hAnsi="Arial"/>
                <w:sz w:val="12"/>
                <w:szCs w:val="12"/>
                <w:color w:val="auto"/>
              </w:rPr>
              <w:t>Ty R. Silberhon</w:t>
            </w:r>
            <w:r>
              <w:rPr>
                <w:rFonts w:ascii="Arial" w:cs="Arial" w:eastAsia="Arial" w:hAnsi="Arial"/>
                <w:sz w:val="15"/>
                <w:szCs w:val="15"/>
                <w:color w:val="auto"/>
                <w:vertAlign w:val="superscript"/>
              </w:rPr>
              <w:t>(4)</w:t>
            </w: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742,500</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left="840"/>
              <w:spacing w:after="0"/>
              <w:rPr>
                <w:sz w:val="20"/>
                <w:szCs w:val="20"/>
                <w:color w:val="auto"/>
              </w:rPr>
            </w:pPr>
            <w:r>
              <w:rPr>
                <w:rFonts w:ascii="Arial" w:cs="Arial" w:eastAsia="Arial" w:hAnsi="Arial"/>
                <w:sz w:val="12"/>
                <w:szCs w:val="12"/>
                <w:color w:val="auto"/>
                <w:w w:val="99"/>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2"/>
                <w:szCs w:val="12"/>
                <w:color w:val="auto"/>
                <w:w w:val="96"/>
              </w:rPr>
              <w:t>742,500</w:t>
            </w:r>
          </w:p>
        </w:tc>
      </w:tr>
      <w:tr>
        <w:trPr>
          <w:trHeight w:val="180"/>
        </w:trPr>
        <w:tc>
          <w:tcPr>
            <w:tcW w:w="33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(5)</w:t>
            </w:r>
          </w:p>
        </w:tc>
        <w:tc>
          <w:tcPr>
            <w:tcW w:w="1520" w:type="dxa"/>
            <w:vAlign w:val="bottom"/>
            <w:shd w:val="clear" w:color="auto" w:fill="DBDBDB"/>
          </w:tcPr>
          <w:p>
            <w:pPr>
              <w:jc w:val="center"/>
              <w:ind w:left="900"/>
              <w:spacing w:after="0"/>
              <w:rPr>
                <w:sz w:val="20"/>
                <w:szCs w:val="20"/>
                <w:color w:val="auto"/>
              </w:rPr>
            </w:pPr>
            <w:r>
              <w:rPr>
                <w:rFonts w:ascii="Arial" w:cs="Arial" w:eastAsia="Arial" w:hAnsi="Arial"/>
                <w:sz w:val="12"/>
                <w:szCs w:val="12"/>
                <w:color w:val="auto"/>
                <w:w w:val="99"/>
              </w:rPr>
              <w:t>N/A</w:t>
            </w:r>
          </w:p>
        </w:tc>
        <w:tc>
          <w:tcPr>
            <w:tcW w:w="9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580" w:type="dxa"/>
            <w:vAlign w:val="bottom"/>
            <w:shd w:val="clear" w:color="auto" w:fill="DBDBDB"/>
          </w:tcPr>
          <w:p>
            <w:pPr>
              <w:jc w:val="center"/>
              <w:ind w:left="840"/>
              <w:spacing w:after="0"/>
              <w:rPr>
                <w:sz w:val="20"/>
                <w:szCs w:val="20"/>
                <w:color w:val="auto"/>
              </w:rPr>
            </w:pPr>
            <w:r>
              <w:rPr>
                <w:rFonts w:ascii="Arial" w:cs="Arial" w:eastAsia="Arial" w:hAnsi="Arial"/>
                <w:sz w:val="12"/>
                <w:szCs w:val="12"/>
                <w:color w:val="auto"/>
                <w:w w:val="99"/>
              </w:rPr>
              <w:t>N/A</w:t>
            </w:r>
          </w:p>
        </w:tc>
        <w:tc>
          <w:tcPr>
            <w:tcW w:w="9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4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N/A</w:t>
            </w:r>
          </w:p>
        </w:tc>
      </w:tr>
    </w:tbl>
    <w:p>
      <w:pPr>
        <w:spacing w:after="0" w:line="12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08" w:hanging="308"/>
        <w:spacing w:after="0"/>
        <w:tabs>
          <w:tab w:leader="none" w:pos="3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Equals the the "Target Level" column minus the "Amount Forfeited" column.</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Nolan was appointed to Chief Executive Officer at the close of business on October 31, 2025, during fiscal 2026, so he did not receive this performance award.</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Ms. Lakkundi was hired on January 6, 2025, during fiscal 2025, so she did not receive this performance award.</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As part of his Separation Agreement, Mr. Silberhorn received a payout of this performance award at Target performance.</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during fiscal 2026, he forfeited this performance award.</w:t>
      </w:r>
    </w:p>
    <w:p>
      <w:pPr>
        <w:spacing w:after="0" w:line="150"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b w:val="1"/>
          <w:bCs w:val="1"/>
          <w:u w:val="single" w:color="auto"/>
          <w:color w:val="auto"/>
        </w:rPr>
        <w:t>Other Benefit Programs</w:t>
      </w:r>
      <w:r>
        <w:rPr>
          <w:rFonts w:ascii="Arial" w:cs="Arial" w:eastAsia="Arial" w:hAnsi="Arial"/>
          <w:sz w:val="12"/>
          <w:szCs w:val="12"/>
          <w:color w:val="auto"/>
        </w:rPr>
        <w:t>. Our executive officers receive the same health and welfare benefits as those offered to all other full-time employees, with the exception of enhanced long-term disability benefits being</w:t>
      </w:r>
      <w:r>
        <w:rPr>
          <w:rFonts w:ascii="Arial" w:cs="Arial" w:eastAsia="Arial" w:hAnsi="Arial"/>
          <w:sz w:val="12"/>
          <w:szCs w:val="12"/>
          <w:b w:val="1"/>
          <w:bCs w:val="1"/>
          <w:color w:val="auto"/>
        </w:rPr>
        <w:t xml:space="preserve"> </w:t>
      </w:r>
      <w:r>
        <w:rPr>
          <w:rFonts w:ascii="Arial" w:cs="Arial" w:eastAsia="Arial" w:hAnsi="Arial"/>
          <w:sz w:val="12"/>
          <w:szCs w:val="12"/>
          <w:color w:val="auto"/>
        </w:rPr>
        <w:t>offered to our executive officers.</w:t>
      </w:r>
    </w:p>
    <w:p>
      <w:pPr>
        <w:spacing w:after="0" w:line="103"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2"/>
          <w:szCs w:val="12"/>
          <w:color w:val="auto"/>
        </w:rPr>
        <w:t xml:space="preserve">We have entered into change-in-control severance agreements with each of our Named Executive Officers. See “Change-in-Control Severance Agreements” beginning on page </w:t>
      </w:r>
      <w:r>
        <w:rPr>
          <w:rFonts w:ascii="Arial" w:cs="Arial" w:eastAsia="Arial" w:hAnsi="Arial"/>
          <w:sz w:val="12"/>
          <w:szCs w:val="12"/>
          <w:u w:val="single" w:color="auto"/>
          <w:color w:val="0000FF"/>
        </w:rPr>
        <w:t>63</w:t>
      </w:r>
      <w:r>
        <w:rPr>
          <w:rFonts w:ascii="Arial" w:cs="Arial" w:eastAsia="Arial" w:hAnsi="Arial"/>
          <w:sz w:val="12"/>
          <w:szCs w:val="12"/>
          <w:color w:val="auto"/>
        </w:rPr>
        <w:t xml:space="preserve"> and “Payments Upon Termination or Change-in-Control” beginning on page </w:t>
      </w:r>
      <w:r>
        <w:rPr>
          <w:rFonts w:ascii="Arial" w:cs="Arial" w:eastAsia="Arial" w:hAnsi="Arial"/>
          <w:sz w:val="12"/>
          <w:szCs w:val="12"/>
          <w:u w:val="single" w:color="auto"/>
          <w:color w:val="0000FF"/>
        </w:rPr>
        <w:t>62</w:t>
      </w:r>
      <w:r>
        <w:rPr>
          <w:rFonts w:ascii="Arial" w:cs="Arial" w:eastAsia="Arial" w:hAnsi="Arial"/>
          <w:sz w:val="12"/>
          <w:szCs w:val="12"/>
          <w:color w:val="auto"/>
        </w:rPr>
        <w:t xml:space="preserve"> for more information on these arrangements.</w:t>
      </w:r>
    </w:p>
    <w:p>
      <w:pPr>
        <w:spacing w:after="0" w:line="103"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2"/>
          <w:szCs w:val="12"/>
          <w:color w:val="auto"/>
        </w:rPr>
        <w:t>In order to maintain market-competitive benefits and to encourage our Named Executive Officers to focus on their roles at the Company, we provide a limited number of perquisites, including the reimbursement of financial and estate planning fees of up to $2,000 annually, enhanced long-term disability benefits, payment of relocation expenses, reimbursement of annual executive health physical costs up to $3,000 annually and reimbursement of spousal travel expenses for certain Company events. We do not provide tax reimbursement or tax “gross-ups” on any perquisites.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3"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color w:val="05445E"/>
        </w:rPr>
        <w:t>Executive Stock Ownership Guidelines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stock ownership guidelines for our executive officers that require our Chief Executive Officer to achieve an ownership level of five times their annual base salary; our Chief Financial Officer to achieve an ownership level of three times their annual base salary; certain corporate officers and segment presidents, including Messrs. T. Johnson, Jewell and Ms. Lakkundi, to achieve an ownership level of two times their annual base salaries; and other corporate officers to achieve an ownership level of one time their annual base salary. The Compensation Committee monitors compliance with our stock ownership guidelines on a regular basis. Each executive has five years from the date they become subject to the stock ownership guidelines to meet their ownership guideline. If an executive is promoted and the target is increased, an additional three-year period is provided to meet the ownership guideline. For purposes of calculating stock ownership, we include unvested shares of restricted stock.</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As of April 27, 2026, all of our active Named Executive Officers are either in compliance with the stock ownership guidelines or still within the applicable grace period for achieving these ownership levels.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Anti-Hedging and Anti-Pledging Policies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believes that the interests of our executive officers, employees and members of our Board of Directors should be aligned with the interests of our shareholders. As a result, we have adopted an anti-hedging policy that prohibits all employees and members of our Board of Directors from engaging in the purchase or sale of financial instruments (including prepaid variable forward contracts, equity swaps, collars and exchange funds) that are designed to hedge or offset any decrease in the market value of our Company’s securities. Our Board of Directors has also adopted an anti-pledging policy, which states that executive officers and directors of the Company are prohibited from, directly or indirectly, pledging, hypothecating, or otherwise encumbering shares of the Company’s common stock as collateral for indebtedness. This prohibition includes, but is not limited to, holding such shares in a margin account or any other account that could cause the Company’s common stock to be subject to a margin call or otherwise be available as collateral for a margin loan. None of our Named Executive Officers have pledged shares of our common stock as collateral for personal loans or other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Clawback Policy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October 2023, our Board of Directors adopted an incentive compensation recovery policy providing for the recovery of erroneously awarded incentive compensation in the event that the Company is required to prepare an accounting restatement due to material noncompliance of the Company with any financial reporting requirements under the federal securities laws and to comply with Section 10D of the Securities Exchange Act of 1934, as amended. This policy is available as Exhibit 97.1 to the Company's most recent Annual Report on Form 10-K. The Company has also adopted a similar policy for other participants of the executive compensation program. Both policies apply to incentive compensation (as defined in the policies) awarded on or after October 2, 2023. Incentive compensation received by executives before October 2, 2023 remains subject to the Company’s prior Clawback Policy dated April 30, 2014, as amended.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Policy and Procedures for the Granting of Equity-Based Awards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currently do not grant stock options. Grants of other equity-based awards to employees, including long-term incentive awards, are generally approved on a regular schedule. However, grants to new hires or for promotions, retention, or purposes other than annual or other broad-based Company-wide grants may be approved outside of regularly scheduled meetings. In those circumstances, the grant date is the date the award is approved, or if the approval date is within a blackout period, the fifth business day following the date on which the Company first releases quarterly earnings following the effective date of the recipient's employment, promotion or recognition, as applicable.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Company will not purposely accelerate or delay the public release of material information in consideration of a pending equity-based award in order to allow an award recipient to benefit from a more favorable stock price.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55" w:name="page56"/>
    <w:bookmarkEnd w:id="55"/>
    <w:p>
      <w:pPr>
        <w:jc w:val="both"/>
        <w:spacing w:after="0" w:line="262" w:lineRule="auto"/>
        <w:rPr>
          <w:sz w:val="20"/>
          <w:szCs w:val="20"/>
          <w:color w:val="auto"/>
        </w:rPr>
      </w:pPr>
      <w:r>
        <w:rPr>
          <w:rFonts w:ascii="Arial" w:cs="Arial" w:eastAsia="Arial" w:hAnsi="Arial"/>
          <w:sz w:val="12"/>
          <w:szCs w:val="12"/>
          <w:color w:val="auto"/>
        </w:rPr>
        <w:t>The Company recognizes, however, that a release of information by the Company in close proximity to an equity-based award could create the appearance of an effort to time the announcement to a recipient's benefit, even if no such benefit was intended. Accordingly, management will advise the Compensation Committee whenever it is aware that material non-public information is planned to be released to the public in close proximity to the grant of an equity-based award. The Committee will consider such information and determine whether to delay the equity-based award to avoid any appearance of impropriety. During fiscal 2026, we did not time the disclosure of material non-public information for the purpose of affecting the value of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Tax Considerations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Section 162(m) of the U.S. Internal Revenue Code ("Section 162(m)") imposes a $ 1,000,000 annual deduction limit on compensation payable to certain current and former named executive officers. The Compensation Committee intends to pay competitive compensation consistent with our philosophy to attract, retain and motivate executive officers to manage our business in the best interests of the Company and our shareholders. The Committee, therefore, may choose to provide non-deductible compensation to our executive officers if it deems such compensation to be in the best interests of the Company and our shareholders.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Various programs, including our benefit plans that provide for deferrals of compensation are subject to Section 409A of the Internal Revenue Code. We have reviewed such plans for compliance with Section 409A and believe that they comply.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Compensation Risk Analysis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During fiscal 2026 the Compensation Committee, with the assistance of its independent compensation consultant(s) and management, assessed risk in our compensation plans, practices and policies and determined that the Company’s compensation practices and policies do not create risks that are reasonably likely to have a material adverse effect on the Company. In performing this risk assessment, the Committee considered:</w:t>
      </w:r>
    </w:p>
    <w:p>
      <w:pPr>
        <w:spacing w:after="0" w:line="114" w:lineRule="exact"/>
        <w:rPr>
          <w:sz w:val="20"/>
          <w:szCs w:val="20"/>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mix of fixed and variable compensation;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mix of short-term and long-term incentive compensation;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extent to which performance metrics are directly reflected in our audited financial statements or other objective reports;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relative weighting of the performance metrics;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likelihood that achievement of performance metrics could have a material impact on our financial performance in succeeding fiscal periods;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various compensation risk control mitigation features in our compensation plans, including balanced financial performance metrics that include net sales, earnings and operational metrics;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Multiple financial performance metrics for our short-term cash incentive and long-term performance-based incentive plans;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Different financial performance metrics for our short-term cash incentive and long-term performance-based incentive plans;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Appropriate maximum caps on our short-term cash incentive and long-term performance-based incentive plans and annual equity awards;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Management stock ownership guidelines;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Our clawback and hedging policies.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56" w:name="page57"/>
    <w:bookmarkEnd w:id="56"/>
    <w:p>
      <w:pPr>
        <w:ind w:left="8"/>
        <w:spacing w:after="0"/>
        <w:rPr>
          <w:sz w:val="20"/>
          <w:szCs w:val="20"/>
          <w:color w:val="auto"/>
        </w:rPr>
      </w:pPr>
      <w:r>
        <w:rPr>
          <w:rFonts w:ascii="Arial" w:cs="Arial" w:eastAsia="Arial" w:hAnsi="Arial"/>
          <w:sz w:val="12"/>
          <w:szCs w:val="12"/>
          <w:b w:val="1"/>
          <w:bCs w:val="1"/>
          <w:color w:val="05445E"/>
        </w:rPr>
        <w:t>Summary Compensation Table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total compensation for fiscal 2026, 2025 and 2024 awarded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9"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05445E"/>
                <w:w w:val="95"/>
              </w:rPr>
              <w:t>Change in Pension</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3"/>
              </w:rPr>
              <w:t>Non-Equity</w:t>
            </w:r>
          </w:p>
        </w:tc>
        <w:tc>
          <w:tcPr>
            <w:tcW w:w="10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05445E"/>
                <w:w w:val="93"/>
              </w:rPr>
              <w:t>Value and Non-</w:t>
            </w:r>
          </w:p>
        </w:tc>
        <w:tc>
          <w:tcPr>
            <w:tcW w:w="12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4"/>
              </w:rPr>
              <w:t>All Other</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05445E"/>
                <w:w w:val="95"/>
              </w:rPr>
              <w:t>Incentive Plan</w:t>
            </w:r>
          </w:p>
        </w:tc>
        <w:tc>
          <w:tcPr>
            <w:tcW w:w="102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05445E"/>
                <w:w w:val="96"/>
              </w:rPr>
              <w:t>Qualified Deferred</w:t>
            </w:r>
          </w:p>
        </w:tc>
        <w:tc>
          <w:tcPr>
            <w:tcW w:w="120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05445E"/>
                <w:w w:val="96"/>
              </w:rPr>
              <w:t>Compen-</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20"/>
                <w:szCs w:val="20"/>
                <w:color w:val="auto"/>
              </w:rPr>
            </w:pPr>
            <w:r>
              <w:rPr>
                <w:rFonts w:ascii="Arial" w:cs="Arial" w:eastAsia="Arial" w:hAnsi="Arial"/>
                <w:sz w:val="10"/>
                <w:szCs w:val="10"/>
                <w:b w:val="1"/>
                <w:bCs w:val="1"/>
                <w:color w:val="05445E"/>
              </w:rPr>
              <w:t>Name</w:t>
            </w:r>
          </w:p>
        </w:tc>
        <w:tc>
          <w:tcPr>
            <w:tcW w:w="80" w:type="dxa"/>
            <w:vAlign w:val="bottom"/>
          </w:tcPr>
          <w:p>
            <w:pPr>
              <w:spacing w:after="0"/>
              <w:rPr>
                <w:sz w:val="10"/>
                <w:szCs w:val="10"/>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8"/>
              </w:rPr>
              <w:t>Fiscal</w:t>
            </w:r>
          </w:p>
        </w:tc>
        <w:tc>
          <w:tcPr>
            <w:tcW w:w="340" w:type="dxa"/>
            <w:vAlign w:val="bottom"/>
          </w:tcPr>
          <w:p>
            <w:pPr>
              <w:spacing w:after="0"/>
              <w:rPr>
                <w:sz w:val="10"/>
                <w:szCs w:val="10"/>
                <w:color w:val="auto"/>
              </w:rPr>
            </w:pPr>
          </w:p>
        </w:tc>
        <w:tc>
          <w:tcPr>
            <w:tcW w:w="660" w:type="dxa"/>
            <w:vAlign w:val="bottom"/>
          </w:tcPr>
          <w:p>
            <w:pPr>
              <w:jc w:val="right"/>
              <w:ind w:right="312"/>
              <w:spacing w:after="0"/>
              <w:rPr>
                <w:sz w:val="20"/>
                <w:szCs w:val="20"/>
                <w:color w:val="auto"/>
              </w:rPr>
            </w:pPr>
            <w:r>
              <w:rPr>
                <w:rFonts w:ascii="Arial" w:cs="Arial" w:eastAsia="Arial" w:hAnsi="Arial"/>
                <w:sz w:val="10"/>
                <w:szCs w:val="10"/>
                <w:b w:val="1"/>
                <w:bCs w:val="1"/>
                <w:color w:val="05445E"/>
                <w:w w:val="93"/>
              </w:rPr>
              <w:t>Salary</w:t>
            </w:r>
          </w:p>
        </w:tc>
        <w:tc>
          <w:tcPr>
            <w:tcW w:w="80" w:type="dxa"/>
            <w:vAlign w:val="bottom"/>
          </w:tcPr>
          <w:p>
            <w:pPr>
              <w:spacing w:after="0"/>
              <w:rPr>
                <w:sz w:val="10"/>
                <w:szCs w:val="10"/>
                <w:color w:val="auto"/>
              </w:rPr>
            </w:pPr>
          </w:p>
        </w:tc>
        <w:tc>
          <w:tcPr>
            <w:tcW w:w="1140" w:type="dxa"/>
            <w:vAlign w:val="bottom"/>
            <w:gridSpan w:val="2"/>
          </w:tcPr>
          <w:p>
            <w:pPr>
              <w:ind w:left="360"/>
              <w:spacing w:after="0"/>
              <w:rPr>
                <w:sz w:val="20"/>
                <w:szCs w:val="20"/>
                <w:color w:val="auto"/>
              </w:rPr>
            </w:pPr>
            <w:r>
              <w:rPr>
                <w:rFonts w:ascii="Arial" w:cs="Arial" w:eastAsia="Arial" w:hAnsi="Arial"/>
                <w:sz w:val="10"/>
                <w:szCs w:val="10"/>
                <w:b w:val="1"/>
                <w:bCs w:val="1"/>
                <w:color w:val="05445E"/>
              </w:rPr>
              <w:t>Bonus</w:t>
            </w:r>
          </w:p>
        </w:tc>
        <w:tc>
          <w:tcPr>
            <w:tcW w:w="1360" w:type="dxa"/>
            <w:vAlign w:val="bottom"/>
            <w:gridSpan w:val="2"/>
          </w:tcPr>
          <w:p>
            <w:pPr>
              <w:ind w:left="260"/>
              <w:spacing w:after="0"/>
              <w:rPr>
                <w:sz w:val="20"/>
                <w:szCs w:val="20"/>
                <w:color w:val="auto"/>
              </w:rPr>
            </w:pPr>
            <w:r>
              <w:rPr>
                <w:rFonts w:ascii="Arial" w:cs="Arial" w:eastAsia="Arial" w:hAnsi="Arial"/>
                <w:sz w:val="10"/>
                <w:szCs w:val="10"/>
                <w:b w:val="1"/>
                <w:bCs w:val="1"/>
                <w:color w:val="05445E"/>
              </w:rPr>
              <w:t>Stock Awards</w:t>
            </w:r>
          </w:p>
        </w:tc>
        <w:tc>
          <w:tcPr>
            <w:tcW w:w="12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6"/>
              </w:rPr>
              <w:t>Compen-sation</w:t>
            </w:r>
          </w:p>
        </w:tc>
        <w:tc>
          <w:tcPr>
            <w:tcW w:w="10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05445E"/>
                <w:w w:val="96"/>
              </w:rPr>
              <w:t>Compen-sation</w:t>
            </w:r>
          </w:p>
        </w:tc>
        <w:tc>
          <w:tcPr>
            <w:tcW w:w="12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4"/>
              </w:rPr>
              <w:t>sation</w:t>
            </w:r>
          </w:p>
        </w:tc>
        <w:tc>
          <w:tcPr>
            <w:tcW w:w="1240" w:type="dxa"/>
            <w:vAlign w:val="bottom"/>
          </w:tcPr>
          <w:p>
            <w:pPr>
              <w:jc w:val="right"/>
              <w:ind w:right="472"/>
              <w:spacing w:after="0"/>
              <w:rPr>
                <w:sz w:val="20"/>
                <w:szCs w:val="20"/>
                <w:color w:val="auto"/>
              </w:rPr>
            </w:pPr>
            <w:r>
              <w:rPr>
                <w:rFonts w:ascii="Arial" w:cs="Arial" w:eastAsia="Arial" w:hAnsi="Arial"/>
                <w:sz w:val="10"/>
                <w:szCs w:val="10"/>
                <w:b w:val="1"/>
                <w:bCs w:val="1"/>
                <w:color w:val="05445E"/>
              </w:rPr>
              <w:t>Total</w:t>
            </w:r>
          </w:p>
        </w:tc>
        <w:tc>
          <w:tcPr>
            <w:tcW w:w="0" w:type="dxa"/>
            <w:vAlign w:val="bottom"/>
          </w:tcPr>
          <w:p>
            <w:pPr>
              <w:spacing w:after="0"/>
              <w:rPr>
                <w:sz w:val="1"/>
                <w:szCs w:val="1"/>
                <w:color w:val="auto"/>
              </w:rPr>
            </w:pPr>
          </w:p>
        </w:tc>
      </w:tr>
      <w:tr>
        <w:trPr>
          <w:trHeight w:val="143"/>
        </w:trPr>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05445E"/>
              </w:rPr>
              <w:t>and Principal Position</w:t>
            </w:r>
          </w:p>
        </w:tc>
        <w:tc>
          <w:tcPr>
            <w:tcW w:w="80" w:type="dxa"/>
            <w:vAlign w:val="bottom"/>
            <w:tcBorders>
              <w:bottom w:val="single" w:sz="8" w:color="DBDBDB"/>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2"/>
              </w:rPr>
              <w:t>Year</w:t>
            </w:r>
          </w:p>
        </w:tc>
        <w:tc>
          <w:tcPr>
            <w:tcW w:w="8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92"/>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Borders>
              <w:bottom w:val="single" w:sz="8" w:color="DBDBDB"/>
            </w:tcBorders>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100" w:type="dxa"/>
            <w:vAlign w:val="bottom"/>
            <w:tcBorders>
              <w:bottom w:val="single" w:sz="8" w:color="DBDBDB"/>
            </w:tcBorders>
          </w:tcPr>
          <w:p>
            <w:pPr>
              <w:spacing w:after="0"/>
              <w:rPr>
                <w:sz w:val="12"/>
                <w:szCs w:val="12"/>
                <w:color w:val="auto"/>
              </w:rPr>
            </w:pPr>
          </w:p>
        </w:tc>
        <w:tc>
          <w:tcPr>
            <w:tcW w:w="114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05445E"/>
                <w:w w:val="97"/>
                <w:vertAlign w:val="subscript"/>
              </w:rPr>
              <w:t>($)</w:t>
            </w:r>
            <w:r>
              <w:rPr>
                <w:rFonts w:ascii="Arial" w:cs="Arial" w:eastAsia="Arial" w:hAnsi="Arial"/>
                <w:sz w:val="6"/>
                <w:szCs w:val="6"/>
                <w:b w:val="1"/>
                <w:bCs w:val="1"/>
                <w:color w:val="05445E"/>
                <w:w w:val="97"/>
              </w:rPr>
              <w:t>(1)</w:t>
            </w:r>
          </w:p>
        </w:tc>
        <w:tc>
          <w:tcPr>
            <w:tcW w:w="220" w:type="dxa"/>
            <w:vAlign w:val="bottom"/>
            <w:tcBorders>
              <w:bottom w:val="single" w:sz="8" w:color="DBDBDB"/>
            </w:tcBorders>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rPr>
              <w:t>($)</w:t>
            </w:r>
            <w:r>
              <w:rPr>
                <w:rFonts w:ascii="Arial" w:cs="Arial" w:eastAsia="Arial" w:hAnsi="Arial"/>
                <w:sz w:val="6"/>
                <w:szCs w:val="6"/>
                <w:b w:val="1"/>
                <w:bCs w:val="1"/>
                <w:color w:val="05445E"/>
              </w:rPr>
              <w:t>(2)</w:t>
            </w:r>
          </w:p>
        </w:tc>
        <w:tc>
          <w:tcPr>
            <w:tcW w:w="60" w:type="dxa"/>
            <w:vAlign w:val="bottom"/>
            <w:tcBorders>
              <w:bottom w:val="single" w:sz="8" w:color="DBDBDB"/>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4"/>
              </w:rPr>
              <w:t>Earnings ($)</w:t>
            </w:r>
            <w:r>
              <w:rPr>
                <w:rFonts w:ascii="Arial" w:cs="Arial" w:eastAsia="Arial" w:hAnsi="Arial"/>
                <w:sz w:val="12"/>
                <w:szCs w:val="12"/>
                <w:b w:val="1"/>
                <w:bCs w:val="1"/>
                <w:color w:val="05445E"/>
                <w:w w:val="94"/>
                <w:vertAlign w:val="superscript"/>
              </w:rPr>
              <w:t>(3)</w:t>
            </w:r>
          </w:p>
        </w:tc>
        <w:tc>
          <w:tcPr>
            <w:tcW w:w="60" w:type="dxa"/>
            <w:vAlign w:val="bottom"/>
            <w:tcBorders>
              <w:bottom w:val="single" w:sz="8" w:color="DBDBDB"/>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rPr>
              <w:t>($)</w:t>
            </w:r>
            <w:r>
              <w:rPr>
                <w:rFonts w:ascii="Arial" w:cs="Arial" w:eastAsia="Arial" w:hAnsi="Arial"/>
                <w:sz w:val="6"/>
                <w:szCs w:val="6"/>
                <w:b w:val="1"/>
                <w:bCs w:val="1"/>
                <w:color w:val="05445E"/>
              </w:rPr>
              <w:t>(4)</w:t>
            </w:r>
          </w:p>
        </w:tc>
        <w:tc>
          <w:tcPr>
            <w:tcW w:w="80" w:type="dxa"/>
            <w:vAlign w:val="bottom"/>
            <w:tcBorders>
              <w:bottom w:val="single" w:sz="8" w:color="DBDBDB"/>
            </w:tcBorders>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0" w:type="dxa"/>
            <w:vAlign w:val="bottom"/>
          </w:tcPr>
          <w:p>
            <w:pPr>
              <w:spacing w:after="0"/>
              <w:rPr>
                <w:sz w:val="1"/>
                <w:szCs w:val="1"/>
                <w:color w:val="auto"/>
              </w:rPr>
            </w:pPr>
          </w:p>
        </w:tc>
      </w:tr>
      <w:tr>
        <w:trPr>
          <w:trHeight w:val="142"/>
        </w:trPr>
        <w:tc>
          <w:tcPr>
            <w:tcW w:w="2120" w:type="dxa"/>
            <w:vAlign w:val="bottom"/>
            <w:shd w:val="clear" w:color="auto" w:fill="DBDBDB"/>
          </w:tcPr>
          <w:p>
            <w:pPr>
              <w:spacing w:after="0"/>
              <w:rPr>
                <w:sz w:val="20"/>
                <w:szCs w:val="20"/>
                <w:color w:val="auto"/>
              </w:rPr>
            </w:pPr>
            <w:r>
              <w:rPr>
                <w:rFonts w:ascii="Arial" w:cs="Arial" w:eastAsia="Arial" w:hAnsi="Arial"/>
                <w:sz w:val="10"/>
                <w:szCs w:val="10"/>
                <w:color w:val="auto"/>
              </w:rPr>
              <w:t>Donald A. Nolan</w:t>
            </w:r>
            <w:r>
              <w:rPr>
                <w:rFonts w:ascii="Arial" w:cs="Arial" w:eastAsia="Arial" w:hAnsi="Arial"/>
                <w:sz w:val="12"/>
                <w:szCs w:val="12"/>
                <w:color w:val="auto"/>
                <w:vertAlign w:val="superscript"/>
              </w:rPr>
              <w:t>(5)</w:t>
            </w:r>
          </w:p>
        </w:tc>
        <w:tc>
          <w:tcPr>
            <w:tcW w:w="800" w:type="dxa"/>
            <w:vAlign w:val="bottom"/>
            <w:gridSpan w:val="2"/>
            <w:shd w:val="clear" w:color="auto" w:fill="DBDBDB"/>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305,962</w:t>
            </w:r>
          </w:p>
        </w:tc>
        <w:tc>
          <w:tcPr>
            <w:tcW w:w="80" w:type="dxa"/>
            <w:vAlign w:val="bottom"/>
            <w:shd w:val="clear" w:color="auto" w:fill="DBDBDB"/>
          </w:tcPr>
          <w:p>
            <w:pPr>
              <w:spacing w:after="0"/>
              <w:rPr>
                <w:sz w:val="12"/>
                <w:szCs w:val="12"/>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113"/>
              <w:spacing w:after="0"/>
              <w:rPr>
                <w:sz w:val="20"/>
                <w:szCs w:val="20"/>
                <w:color w:val="auto"/>
              </w:rPr>
            </w:pPr>
            <w:r>
              <w:rPr>
                <w:rFonts w:ascii="Arial" w:cs="Arial" w:eastAsia="Arial" w:hAnsi="Arial"/>
                <w:sz w:val="10"/>
                <w:szCs w:val="10"/>
                <w:color w:val="auto"/>
              </w:rPr>
              <w:t>1,749,990</w:t>
            </w:r>
          </w:p>
        </w:tc>
        <w:tc>
          <w:tcPr>
            <w:tcW w:w="220" w:type="dxa"/>
            <w:vAlign w:val="bottom"/>
            <w:shd w:val="clear" w:color="auto" w:fill="DBDBDB"/>
          </w:tcPr>
          <w:p>
            <w:pPr>
              <w:spacing w:after="0"/>
              <w:rPr>
                <w:sz w:val="12"/>
                <w:szCs w:val="12"/>
                <w:color w:val="auto"/>
              </w:rPr>
            </w:pPr>
          </w:p>
        </w:tc>
        <w:tc>
          <w:tcPr>
            <w:tcW w:w="126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107,969</w:t>
            </w:r>
          </w:p>
        </w:tc>
        <w:tc>
          <w:tcPr>
            <w:tcW w:w="80" w:type="dxa"/>
            <w:vAlign w:val="bottom"/>
            <w:shd w:val="clear" w:color="auto" w:fill="DBDBDB"/>
          </w:tcPr>
          <w:p>
            <w:pPr>
              <w:spacing w:after="0"/>
              <w:rPr>
                <w:sz w:val="12"/>
                <w:szCs w:val="12"/>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2,163,921</w:t>
            </w:r>
          </w:p>
        </w:tc>
        <w:tc>
          <w:tcPr>
            <w:tcW w:w="0" w:type="dxa"/>
            <w:vAlign w:val="bottom"/>
          </w:tcPr>
          <w:p>
            <w:pPr>
              <w:spacing w:after="0"/>
              <w:rPr>
                <w:sz w:val="1"/>
                <w:szCs w:val="1"/>
                <w:color w:val="auto"/>
              </w:rPr>
            </w:pPr>
          </w:p>
        </w:tc>
      </w:tr>
      <w:tr>
        <w:trPr>
          <w:trHeight w:val="153"/>
        </w:trPr>
        <w:tc>
          <w:tcPr>
            <w:tcW w:w="2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Chief Executive Officer and President</w:t>
            </w: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2025</w:t>
            </w:r>
          </w:p>
        </w:tc>
        <w:tc>
          <w:tcPr>
            <w:tcW w:w="80" w:type="dxa"/>
            <w:vAlign w:val="bottom"/>
            <w:shd w:val="clear" w:color="auto" w:fill="DBDBDB"/>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660" w:type="dxa"/>
            <w:vAlign w:val="bottom"/>
            <w:shd w:val="clear" w:color="auto" w:fill="D9D9D9"/>
          </w:tcPr>
          <w:p>
            <w:pPr>
              <w:jc w:val="center"/>
              <w:ind w:right="27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360" w:type="dxa"/>
            <w:vAlign w:val="bottom"/>
            <w:gridSpan w:val="2"/>
            <w:shd w:val="clear" w:color="auto" w:fill="DBDBDB"/>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21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2024</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660" w:type="dxa"/>
            <w:vAlign w:val="bottom"/>
            <w:shd w:val="clear" w:color="auto" w:fill="DBDBDB"/>
          </w:tcPr>
          <w:p>
            <w:pPr>
              <w:jc w:val="center"/>
              <w:ind w:right="27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360" w:type="dxa"/>
            <w:vAlign w:val="bottom"/>
            <w:gridSpan w:val="2"/>
            <w:shd w:val="clear" w:color="auto" w:fill="DBDBDB"/>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Arial" w:cs="Arial" w:eastAsia="Arial" w:hAnsi="Arial"/>
                <w:sz w:val="10"/>
                <w:szCs w:val="10"/>
                <w:color w:val="auto"/>
              </w:rPr>
              <w:t>Mark R. Augdahl</w:t>
            </w:r>
            <w:r>
              <w:rPr>
                <w:rFonts w:ascii="Arial" w:cs="Arial" w:eastAsia="Arial" w:hAnsi="Arial"/>
                <w:sz w:val="12"/>
                <w:szCs w:val="12"/>
                <w:color w:val="auto"/>
                <w:vertAlign w:val="superscript"/>
              </w:rPr>
              <w:t>(6)</w:t>
            </w: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374,692</w:t>
            </w:r>
          </w:p>
        </w:tc>
        <w:tc>
          <w:tcPr>
            <w:tcW w:w="1120" w:type="dxa"/>
            <w:vAlign w:val="bottom"/>
            <w:gridSpan w:val="2"/>
          </w:tcPr>
          <w:p>
            <w:pPr>
              <w:jc w:val="center"/>
              <w:ind w:left="12"/>
              <w:spacing w:after="0"/>
              <w:rPr>
                <w:sz w:val="20"/>
                <w:szCs w:val="20"/>
                <w:color w:val="auto"/>
              </w:rPr>
            </w:pPr>
            <w:r>
              <w:rPr>
                <w:rFonts w:ascii="Arial" w:cs="Arial" w:eastAsia="Arial" w:hAnsi="Arial"/>
                <w:sz w:val="10"/>
                <w:szCs w:val="10"/>
                <w:color w:val="auto"/>
                <w:w w:val="97"/>
              </w:rPr>
              <w:t>50,000</w:t>
            </w:r>
          </w:p>
        </w:tc>
        <w:tc>
          <w:tcPr>
            <w:tcW w:w="100" w:type="dxa"/>
            <w:vAlign w:val="bottom"/>
          </w:tcPr>
          <w:p>
            <w:pPr>
              <w:spacing w:after="0"/>
              <w:rPr>
                <w:sz w:val="14"/>
                <w:szCs w:val="14"/>
                <w:color w:val="auto"/>
              </w:rPr>
            </w:pPr>
          </w:p>
        </w:tc>
        <w:tc>
          <w:tcPr>
            <w:tcW w:w="1140" w:type="dxa"/>
            <w:vAlign w:val="bottom"/>
          </w:tcPr>
          <w:p>
            <w:pPr>
              <w:jc w:val="right"/>
              <w:ind w:right="113"/>
              <w:spacing w:after="0"/>
              <w:rPr>
                <w:sz w:val="20"/>
                <w:szCs w:val="20"/>
                <w:color w:val="auto"/>
              </w:rPr>
            </w:pPr>
            <w:r>
              <w:rPr>
                <w:rFonts w:ascii="Arial" w:cs="Arial" w:eastAsia="Arial" w:hAnsi="Arial"/>
                <w:sz w:val="10"/>
                <w:szCs w:val="10"/>
                <w:color w:val="auto"/>
              </w:rPr>
              <w:t>964,769</w:t>
            </w:r>
          </w:p>
        </w:tc>
        <w:tc>
          <w:tcPr>
            <w:tcW w:w="220" w:type="dxa"/>
            <w:vAlign w:val="bottom"/>
          </w:tcPr>
          <w:p>
            <w:pPr>
              <w:spacing w:after="0"/>
              <w:rPr>
                <w:sz w:val="14"/>
                <w:szCs w:val="14"/>
                <w:color w:val="auto"/>
              </w:rPr>
            </w:pPr>
          </w:p>
        </w:tc>
        <w:tc>
          <w:tcPr>
            <w:tcW w:w="1200" w:type="dxa"/>
            <w:vAlign w:val="bottom"/>
          </w:tcPr>
          <w:p>
            <w:pPr>
              <w:jc w:val="right"/>
              <w:ind w:right="112"/>
              <w:spacing w:after="0"/>
              <w:rPr>
                <w:sz w:val="20"/>
                <w:szCs w:val="20"/>
                <w:color w:val="auto"/>
              </w:rPr>
            </w:pPr>
            <w:r>
              <w:rPr>
                <w:rFonts w:ascii="Arial" w:cs="Arial" w:eastAsia="Arial" w:hAnsi="Arial"/>
                <w:sz w:val="10"/>
                <w:szCs w:val="10"/>
                <w:color w:val="auto"/>
              </w:rPr>
              <w:t>76,800</w:t>
            </w: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auto"/>
                <w:w w:val="91"/>
              </w:rPr>
              <w:t>12,070</w:t>
            </w:r>
          </w:p>
        </w:tc>
        <w:tc>
          <w:tcPr>
            <w:tcW w:w="60" w:type="dxa"/>
            <w:vAlign w:val="bottom"/>
          </w:tcPr>
          <w:p>
            <w:pPr>
              <w:spacing w:after="0"/>
              <w:rPr>
                <w:sz w:val="14"/>
                <w:szCs w:val="14"/>
                <w:color w:val="auto"/>
              </w:rPr>
            </w:pP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16,978</w:t>
            </w:r>
          </w:p>
        </w:tc>
        <w:tc>
          <w:tcPr>
            <w:tcW w:w="80" w:type="dxa"/>
            <w:vAlign w:val="bottom"/>
          </w:tcPr>
          <w:p>
            <w:pPr>
              <w:spacing w:after="0"/>
              <w:rPr>
                <w:sz w:val="14"/>
                <w:szCs w:val="14"/>
                <w:color w:val="auto"/>
              </w:rPr>
            </w:pPr>
          </w:p>
        </w:tc>
        <w:tc>
          <w:tcPr>
            <w:tcW w:w="1240" w:type="dxa"/>
            <w:vAlign w:val="bottom"/>
          </w:tcPr>
          <w:p>
            <w:pPr>
              <w:jc w:val="right"/>
              <w:ind w:right="112"/>
              <w:spacing w:after="0"/>
              <w:rPr>
                <w:sz w:val="20"/>
                <w:szCs w:val="20"/>
                <w:color w:val="auto"/>
              </w:rPr>
            </w:pPr>
            <w:r>
              <w:rPr>
                <w:rFonts w:ascii="Arial" w:cs="Arial" w:eastAsia="Arial" w:hAnsi="Arial"/>
                <w:sz w:val="10"/>
                <w:szCs w:val="10"/>
                <w:color w:val="auto"/>
              </w:rPr>
              <w:t>1,495,309</w:t>
            </w:r>
          </w:p>
        </w:tc>
        <w:tc>
          <w:tcPr>
            <w:tcW w:w="0" w:type="dxa"/>
            <w:vAlign w:val="bottom"/>
          </w:tcPr>
          <w:p>
            <w:pPr>
              <w:spacing w:after="0"/>
              <w:rPr>
                <w:sz w:val="1"/>
                <w:szCs w:val="1"/>
                <w:color w:val="auto"/>
              </w:rPr>
            </w:pPr>
          </w:p>
        </w:tc>
      </w:tr>
      <w:tr>
        <w:trPr>
          <w:trHeight w:val="117"/>
        </w:trPr>
        <w:tc>
          <w:tcPr>
            <w:tcW w:w="2120" w:type="dxa"/>
            <w:vAlign w:val="bottom"/>
          </w:tcPr>
          <w:p>
            <w:pPr>
              <w:ind w:left="120"/>
              <w:spacing w:after="0"/>
              <w:rPr>
                <w:sz w:val="20"/>
                <w:szCs w:val="20"/>
                <w:color w:val="auto"/>
              </w:rPr>
            </w:pPr>
            <w:r>
              <w:rPr>
                <w:rFonts w:ascii="Arial" w:cs="Arial" w:eastAsia="Arial" w:hAnsi="Arial"/>
                <w:sz w:val="10"/>
                <w:szCs w:val="10"/>
                <w:color w:val="auto"/>
                <w:w w:val="99"/>
              </w:rPr>
              <w:t>Executive Vice President and Chief Financial</w:t>
            </w: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2025</w:t>
            </w:r>
          </w:p>
        </w:tc>
        <w:tc>
          <w:tcPr>
            <w:tcW w:w="80" w:type="dxa"/>
            <w:vAlign w:val="bottom"/>
          </w:tcPr>
          <w:p>
            <w:pPr>
              <w:spacing w:after="0"/>
              <w:rPr>
                <w:sz w:val="10"/>
                <w:szCs w:val="10"/>
                <w:color w:val="auto"/>
              </w:rPr>
            </w:pPr>
          </w:p>
        </w:tc>
        <w:tc>
          <w:tcPr>
            <w:tcW w:w="340" w:type="dxa"/>
            <w:vAlign w:val="bottom"/>
          </w:tcPr>
          <w:p>
            <w:pPr>
              <w:ind w:left="220"/>
              <w:spacing w:after="0"/>
              <w:rPr>
                <w:sz w:val="20"/>
                <w:szCs w:val="20"/>
                <w:color w:val="auto"/>
              </w:rPr>
            </w:pPr>
            <w:r>
              <w:rPr>
                <w:rFonts w:ascii="Arial" w:cs="Arial" w:eastAsia="Arial" w:hAnsi="Arial"/>
                <w:sz w:val="10"/>
                <w:szCs w:val="10"/>
                <w:color w:val="auto"/>
                <w:w w:val="99"/>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ind w:left="700"/>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25"/>
        </w:trPr>
        <w:tc>
          <w:tcPr>
            <w:tcW w:w="2120" w:type="dxa"/>
            <w:vAlign w:val="bottom"/>
          </w:tcPr>
          <w:p>
            <w:pPr>
              <w:ind w:left="120"/>
              <w:spacing w:after="0"/>
              <w:rPr>
                <w:sz w:val="20"/>
                <w:szCs w:val="20"/>
                <w:color w:val="auto"/>
              </w:rPr>
            </w:pPr>
            <w:r>
              <w:rPr>
                <w:rFonts w:ascii="Arial" w:cs="Arial" w:eastAsia="Arial" w:hAnsi="Arial"/>
                <w:sz w:val="10"/>
                <w:szCs w:val="10"/>
                <w:color w:val="auto"/>
              </w:rPr>
              <w:t>Officer</w:t>
            </w:r>
          </w:p>
        </w:tc>
        <w:tc>
          <w:tcPr>
            <w:tcW w:w="800" w:type="dxa"/>
            <w:vAlign w:val="bottom"/>
            <w:gridSpan w:val="2"/>
            <w:vMerge w:val="restart"/>
          </w:tcPr>
          <w:p>
            <w:pPr>
              <w:jc w:val="center"/>
              <w:ind w:left="32"/>
              <w:spacing w:after="0"/>
              <w:rPr>
                <w:sz w:val="20"/>
                <w:szCs w:val="20"/>
                <w:color w:val="auto"/>
              </w:rPr>
            </w:pPr>
            <w:r>
              <w:rPr>
                <w:rFonts w:ascii="Arial" w:cs="Arial" w:eastAsia="Arial" w:hAnsi="Arial"/>
                <w:sz w:val="10"/>
                <w:szCs w:val="10"/>
                <w:color w:val="auto"/>
                <w:w w:val="89"/>
              </w:rPr>
              <w:t>2024</w:t>
            </w:r>
          </w:p>
        </w:tc>
        <w:tc>
          <w:tcPr>
            <w:tcW w:w="80" w:type="dxa"/>
            <w:vAlign w:val="bottom"/>
          </w:tcPr>
          <w:p>
            <w:pPr>
              <w:spacing w:after="0"/>
              <w:rPr>
                <w:sz w:val="10"/>
                <w:szCs w:val="10"/>
                <w:color w:val="auto"/>
              </w:rPr>
            </w:pPr>
          </w:p>
        </w:tc>
        <w:tc>
          <w:tcPr>
            <w:tcW w:w="340" w:type="dxa"/>
            <w:vAlign w:val="bottom"/>
            <w:vMerge w:val="restart"/>
          </w:tcPr>
          <w:p>
            <w:pPr>
              <w:ind w:left="220"/>
              <w:spacing w:after="0"/>
              <w:rPr>
                <w:sz w:val="20"/>
                <w:szCs w:val="20"/>
                <w:color w:val="auto"/>
              </w:rPr>
            </w:pPr>
            <w:r>
              <w:rPr>
                <w:rFonts w:ascii="Arial" w:cs="Arial" w:eastAsia="Arial" w:hAnsi="Arial"/>
                <w:sz w:val="10"/>
                <w:szCs w:val="10"/>
                <w:color w:val="auto"/>
                <w:w w:val="99"/>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1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DBDBDB"/>
          </w:tcPr>
          <w:p>
            <w:pPr>
              <w:spacing w:after="0"/>
              <w:rPr>
                <w:sz w:val="20"/>
                <w:szCs w:val="20"/>
                <w:color w:val="auto"/>
              </w:rPr>
            </w:pPr>
            <w:r>
              <w:rPr>
                <w:rFonts w:ascii="Arial" w:cs="Arial" w:eastAsia="Arial" w:hAnsi="Arial"/>
                <w:sz w:val="10"/>
                <w:szCs w:val="10"/>
                <w:color w:val="auto"/>
              </w:rPr>
              <w:t>Troy R. Johnson</w:t>
            </w:r>
            <w:r>
              <w:rPr>
                <w:rFonts w:ascii="Arial" w:cs="Arial" w:eastAsia="Arial" w:hAnsi="Arial"/>
                <w:sz w:val="12"/>
                <w:szCs w:val="12"/>
                <w:color w:val="auto"/>
                <w:vertAlign w:val="superscript"/>
              </w:rPr>
              <w:t>(7)</w:t>
            </w:r>
          </w:p>
        </w:tc>
        <w:tc>
          <w:tcPr>
            <w:tcW w:w="800" w:type="dxa"/>
            <w:vAlign w:val="bottom"/>
            <w:gridSpan w:val="2"/>
            <w:shd w:val="clear" w:color="auto" w:fill="DBDBDB"/>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479,797</w:t>
            </w:r>
          </w:p>
        </w:tc>
        <w:tc>
          <w:tcPr>
            <w:tcW w:w="8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113"/>
              <w:spacing w:after="0"/>
              <w:rPr>
                <w:sz w:val="20"/>
                <w:szCs w:val="20"/>
                <w:color w:val="auto"/>
              </w:rPr>
            </w:pPr>
            <w:r>
              <w:rPr>
                <w:rFonts w:ascii="Arial" w:cs="Arial" w:eastAsia="Arial" w:hAnsi="Arial"/>
                <w:sz w:val="10"/>
                <w:szCs w:val="10"/>
                <w:color w:val="auto"/>
              </w:rPr>
              <w:t>1,348,170</w:t>
            </w:r>
          </w:p>
        </w:tc>
        <w:tc>
          <w:tcPr>
            <w:tcW w:w="22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652"/>
              <w:spacing w:after="0"/>
              <w:rPr>
                <w:sz w:val="20"/>
                <w:szCs w:val="20"/>
                <w:color w:val="auto"/>
              </w:rPr>
            </w:pPr>
            <w:r>
              <w:rPr>
                <w:rFonts w:ascii="Arial" w:cs="Arial" w:eastAsia="Arial" w:hAnsi="Arial"/>
                <w:sz w:val="10"/>
                <w:szCs w:val="10"/>
                <w:color w:val="auto"/>
              </w:rPr>
              <w:t>392,987</w:t>
            </w:r>
          </w:p>
        </w:tc>
        <w:tc>
          <w:tcPr>
            <w:tcW w:w="6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14,593</w:t>
            </w:r>
          </w:p>
        </w:tc>
        <w:tc>
          <w:tcPr>
            <w:tcW w:w="8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2,235,547</w:t>
            </w:r>
          </w:p>
        </w:tc>
        <w:tc>
          <w:tcPr>
            <w:tcW w:w="0" w:type="dxa"/>
            <w:vAlign w:val="bottom"/>
          </w:tcPr>
          <w:p>
            <w:pPr>
              <w:spacing w:after="0"/>
              <w:rPr>
                <w:sz w:val="1"/>
                <w:szCs w:val="1"/>
                <w:color w:val="auto"/>
              </w:rPr>
            </w:pPr>
          </w:p>
        </w:tc>
      </w:tr>
      <w:tr>
        <w:trPr>
          <w:trHeight w:val="138"/>
        </w:trPr>
        <w:tc>
          <w:tcPr>
            <w:tcW w:w="2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President, Architectural Metals Segment</w:t>
            </w: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2025</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426,846</w:t>
            </w:r>
          </w:p>
        </w:tc>
        <w:tc>
          <w:tcPr>
            <w:tcW w:w="80" w:type="dxa"/>
            <w:vAlign w:val="bottom"/>
            <w:shd w:val="clear" w:color="auto" w:fill="DBDBDB"/>
          </w:tcPr>
          <w:p>
            <w:pPr>
              <w:spacing w:after="0"/>
              <w:rPr>
                <w:sz w:val="12"/>
                <w:szCs w:val="12"/>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113"/>
              <w:spacing w:after="0"/>
              <w:rPr>
                <w:sz w:val="20"/>
                <w:szCs w:val="20"/>
                <w:color w:val="auto"/>
              </w:rPr>
            </w:pPr>
            <w:r>
              <w:rPr>
                <w:rFonts w:ascii="Arial" w:cs="Arial" w:eastAsia="Arial" w:hAnsi="Arial"/>
                <w:sz w:val="10"/>
                <w:szCs w:val="10"/>
                <w:color w:val="auto"/>
              </w:rPr>
              <w:t>320,966</w:t>
            </w:r>
          </w:p>
        </w:tc>
        <w:tc>
          <w:tcPr>
            <w:tcW w:w="220" w:type="dxa"/>
            <w:vAlign w:val="bottom"/>
            <w:shd w:val="clear" w:color="auto" w:fill="DBDBDB"/>
          </w:tcPr>
          <w:p>
            <w:pPr>
              <w:spacing w:after="0"/>
              <w:rPr>
                <w:sz w:val="12"/>
                <w:szCs w:val="12"/>
                <w:color w:val="auto"/>
              </w:rPr>
            </w:pPr>
          </w:p>
        </w:tc>
        <w:tc>
          <w:tcPr>
            <w:tcW w:w="1200" w:type="dxa"/>
            <w:vAlign w:val="bottom"/>
            <w:shd w:val="clear" w:color="auto" w:fill="DBDBDB"/>
          </w:tcPr>
          <w:p>
            <w:pPr>
              <w:jc w:val="right"/>
              <w:ind w:right="652"/>
              <w:spacing w:after="0"/>
              <w:rPr>
                <w:sz w:val="20"/>
                <w:szCs w:val="20"/>
                <w:color w:val="auto"/>
              </w:rPr>
            </w:pPr>
            <w:r>
              <w:rPr>
                <w:rFonts w:ascii="Arial" w:cs="Arial" w:eastAsia="Arial" w:hAnsi="Arial"/>
                <w:sz w:val="10"/>
                <w:szCs w:val="10"/>
                <w:color w:val="auto"/>
              </w:rPr>
              <w:t>680,125</w:t>
            </w:r>
          </w:p>
        </w:tc>
        <w:tc>
          <w:tcPr>
            <w:tcW w:w="6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36,927</w:t>
            </w:r>
          </w:p>
        </w:tc>
        <w:tc>
          <w:tcPr>
            <w:tcW w:w="80" w:type="dxa"/>
            <w:vAlign w:val="bottom"/>
            <w:shd w:val="clear" w:color="auto" w:fill="DBDBDB"/>
          </w:tcPr>
          <w:p>
            <w:pPr>
              <w:spacing w:after="0"/>
              <w:rPr>
                <w:sz w:val="12"/>
                <w:szCs w:val="12"/>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1,464,864</w:t>
            </w:r>
          </w:p>
        </w:tc>
        <w:tc>
          <w:tcPr>
            <w:tcW w:w="0" w:type="dxa"/>
            <w:vAlign w:val="bottom"/>
          </w:tcPr>
          <w:p>
            <w:pPr>
              <w:spacing w:after="0"/>
              <w:rPr>
                <w:sz w:val="1"/>
                <w:szCs w:val="1"/>
                <w:color w:val="auto"/>
              </w:rPr>
            </w:pPr>
          </w:p>
        </w:tc>
      </w:tr>
      <w:tr>
        <w:trPr>
          <w:trHeight w:val="168"/>
        </w:trPr>
        <w:tc>
          <w:tcPr>
            <w:tcW w:w="2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2024</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660" w:type="dxa"/>
            <w:vAlign w:val="bottom"/>
            <w:shd w:val="clear" w:color="auto" w:fill="DBDBDB"/>
          </w:tcPr>
          <w:p>
            <w:pPr>
              <w:jc w:val="center"/>
              <w:ind w:right="27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4"/>
                <w:szCs w:val="14"/>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360" w:type="dxa"/>
            <w:vAlign w:val="bottom"/>
            <w:gridSpan w:val="2"/>
            <w:shd w:val="clear" w:color="auto" w:fill="DBDBDB"/>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Arial" w:cs="Arial" w:eastAsia="Arial" w:hAnsi="Arial"/>
                <w:sz w:val="10"/>
                <w:szCs w:val="10"/>
                <w:color w:val="auto"/>
              </w:rPr>
              <w:t>Veena M. Lakkundi</w:t>
            </w:r>
            <w:r>
              <w:rPr>
                <w:rFonts w:ascii="Arial" w:cs="Arial" w:eastAsia="Arial" w:hAnsi="Arial"/>
                <w:sz w:val="12"/>
                <w:szCs w:val="12"/>
                <w:color w:val="auto"/>
                <w:vertAlign w:val="superscript"/>
              </w:rPr>
              <w:t>(8)</w:t>
            </w: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550,000</w:t>
            </w:r>
          </w:p>
        </w:tc>
        <w:tc>
          <w:tcPr>
            <w:tcW w:w="8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0"/>
                <w:szCs w:val="10"/>
                <w:color w:val="auto"/>
              </w:rPr>
              <w:t>1,128,013</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93"/>
              </w:rPr>
              <w:t>192,225</w:t>
            </w:r>
          </w:p>
        </w:tc>
        <w:tc>
          <w:tcPr>
            <w:tcW w:w="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13,740</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94"/>
              </w:rPr>
              <w:t>1,883,978</w:t>
            </w:r>
          </w:p>
        </w:tc>
        <w:tc>
          <w:tcPr>
            <w:tcW w:w="0" w:type="dxa"/>
            <w:vAlign w:val="bottom"/>
          </w:tcPr>
          <w:p>
            <w:pPr>
              <w:spacing w:after="0"/>
              <w:rPr>
                <w:sz w:val="1"/>
                <w:szCs w:val="1"/>
                <w:color w:val="auto"/>
              </w:rPr>
            </w:pPr>
          </w:p>
        </w:tc>
      </w:tr>
      <w:tr>
        <w:trPr>
          <w:trHeight w:val="125"/>
        </w:trPr>
        <w:tc>
          <w:tcPr>
            <w:tcW w:w="2120" w:type="dxa"/>
            <w:vAlign w:val="bottom"/>
          </w:tcPr>
          <w:p>
            <w:pPr>
              <w:ind w:left="120"/>
              <w:spacing w:after="0"/>
              <w:rPr>
                <w:sz w:val="20"/>
                <w:szCs w:val="20"/>
                <w:color w:val="auto"/>
              </w:rPr>
            </w:pPr>
            <w:r>
              <w:rPr>
                <w:rFonts w:ascii="Arial" w:cs="Arial" w:eastAsia="Arial" w:hAnsi="Arial"/>
                <w:sz w:val="10"/>
                <w:szCs w:val="10"/>
                <w:color w:val="auto"/>
              </w:rPr>
              <w:t>President, Performance Surfaces Segment</w:t>
            </w: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center"/>
              <w:ind w:right="272"/>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0"/>
                <w:szCs w:val="1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1360" w:type="dxa"/>
            <w:vAlign w:val="bottom"/>
            <w:gridSpan w:val="2"/>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ind w:right="272"/>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1360" w:type="dxa"/>
            <w:vAlign w:val="bottom"/>
            <w:gridSpan w:val="2"/>
          </w:tcPr>
          <w:p>
            <w:pPr>
              <w:jc w:val="center"/>
              <w:ind w:right="220"/>
              <w:spacing w:after="0"/>
              <w:rPr>
                <w:sz w:val="20"/>
                <w:szCs w:val="20"/>
                <w:color w:val="auto"/>
              </w:rPr>
            </w:pPr>
            <w:r>
              <w:rPr>
                <w:rFonts w:ascii="Arial" w:cs="Arial" w:eastAsia="Arial" w:hAnsi="Arial"/>
                <w:sz w:val="10"/>
                <w:szCs w:val="10"/>
                <w:color w:val="auto"/>
                <w:w w:val="99"/>
              </w:rPr>
              <w:t>—</w:t>
            </w:r>
          </w:p>
        </w:tc>
        <w:tc>
          <w:tcPr>
            <w:tcW w:w="126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right="60"/>
              <w:spacing w:after="0"/>
              <w:rPr>
                <w:sz w:val="20"/>
                <w:szCs w:val="20"/>
                <w:color w:val="auto"/>
              </w:rPr>
            </w:pPr>
            <w:r>
              <w:rPr>
                <w:rFonts w:ascii="Arial" w:cs="Arial" w:eastAsia="Arial" w:hAnsi="Arial"/>
                <w:sz w:val="10"/>
                <w:szCs w:val="10"/>
                <w:color w:val="auto"/>
                <w:w w:val="79"/>
              </w:rPr>
              <w:t>—</w:t>
            </w:r>
          </w:p>
        </w:tc>
        <w:tc>
          <w:tcPr>
            <w:tcW w:w="120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120" w:type="dxa"/>
            <w:vAlign w:val="bottom"/>
            <w:shd w:val="clear" w:color="auto" w:fill="DBDBDB"/>
          </w:tcPr>
          <w:p>
            <w:pPr>
              <w:spacing w:after="0"/>
              <w:rPr>
                <w:sz w:val="20"/>
                <w:szCs w:val="20"/>
                <w:color w:val="auto"/>
              </w:rPr>
            </w:pPr>
            <w:r>
              <w:rPr>
                <w:rFonts w:ascii="Arial" w:cs="Arial" w:eastAsia="Arial" w:hAnsi="Arial"/>
                <w:sz w:val="10"/>
                <w:szCs w:val="10"/>
                <w:color w:val="auto"/>
              </w:rPr>
              <w:t>Brent C. Jewell</w:t>
            </w:r>
          </w:p>
        </w:tc>
        <w:tc>
          <w:tcPr>
            <w:tcW w:w="800" w:type="dxa"/>
            <w:vAlign w:val="bottom"/>
            <w:gridSpan w:val="2"/>
            <w:shd w:val="clear" w:color="auto" w:fill="DBDBDB"/>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462,077</w:t>
            </w:r>
          </w:p>
        </w:tc>
        <w:tc>
          <w:tcPr>
            <w:tcW w:w="80" w:type="dxa"/>
            <w:vAlign w:val="bottom"/>
            <w:shd w:val="clear" w:color="auto" w:fill="DBDBDB"/>
          </w:tcPr>
          <w:p>
            <w:pPr>
              <w:spacing w:after="0"/>
              <w:rPr>
                <w:sz w:val="12"/>
                <w:szCs w:val="12"/>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113"/>
              <w:spacing w:after="0"/>
              <w:rPr>
                <w:sz w:val="20"/>
                <w:szCs w:val="20"/>
                <w:color w:val="auto"/>
              </w:rPr>
            </w:pPr>
            <w:r>
              <w:rPr>
                <w:rFonts w:ascii="Arial" w:cs="Arial" w:eastAsia="Arial" w:hAnsi="Arial"/>
                <w:sz w:val="10"/>
                <w:szCs w:val="10"/>
                <w:color w:val="auto"/>
              </w:rPr>
              <w:t>1,016,679</w:t>
            </w:r>
          </w:p>
        </w:tc>
        <w:tc>
          <w:tcPr>
            <w:tcW w:w="220" w:type="dxa"/>
            <w:vAlign w:val="bottom"/>
            <w:shd w:val="clear" w:color="auto" w:fill="DBDBDB"/>
          </w:tcPr>
          <w:p>
            <w:pPr>
              <w:spacing w:after="0"/>
              <w:rPr>
                <w:sz w:val="12"/>
                <w:szCs w:val="12"/>
                <w:color w:val="auto"/>
              </w:rPr>
            </w:pPr>
          </w:p>
        </w:tc>
        <w:tc>
          <w:tcPr>
            <w:tcW w:w="120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111,251</w:t>
            </w:r>
          </w:p>
        </w:tc>
        <w:tc>
          <w:tcPr>
            <w:tcW w:w="6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ind w:left="240"/>
              <w:spacing w:after="0"/>
              <w:rPr>
                <w:sz w:val="20"/>
                <w:szCs w:val="20"/>
                <w:color w:val="auto"/>
              </w:rPr>
            </w:pPr>
            <w:r>
              <w:rPr>
                <w:rFonts w:ascii="Arial" w:cs="Arial" w:eastAsia="Arial" w:hAnsi="Arial"/>
                <w:sz w:val="10"/>
                <w:szCs w:val="10"/>
                <w:color w:val="auto"/>
              </w:rPr>
              <w:t>14,062</w:t>
            </w:r>
          </w:p>
        </w:tc>
        <w:tc>
          <w:tcPr>
            <w:tcW w:w="80" w:type="dxa"/>
            <w:vAlign w:val="bottom"/>
            <w:shd w:val="clear" w:color="auto" w:fill="DBDBDB"/>
          </w:tcPr>
          <w:p>
            <w:pPr>
              <w:spacing w:after="0"/>
              <w:rPr>
                <w:sz w:val="12"/>
                <w:szCs w:val="12"/>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1,604,069</w:t>
            </w:r>
          </w:p>
        </w:tc>
        <w:tc>
          <w:tcPr>
            <w:tcW w:w="0" w:type="dxa"/>
            <w:vAlign w:val="bottom"/>
          </w:tcPr>
          <w:p>
            <w:pPr>
              <w:spacing w:after="0"/>
              <w:rPr>
                <w:sz w:val="1"/>
                <w:szCs w:val="1"/>
                <w:color w:val="auto"/>
              </w:rPr>
            </w:pPr>
          </w:p>
        </w:tc>
      </w:tr>
      <w:tr>
        <w:trPr>
          <w:trHeight w:val="153"/>
        </w:trPr>
        <w:tc>
          <w:tcPr>
            <w:tcW w:w="2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President, Architectural Glass Segment</w:t>
            </w: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2025</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453,615</w:t>
            </w:r>
          </w:p>
        </w:tc>
        <w:tc>
          <w:tcPr>
            <w:tcW w:w="8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573"/>
              <w:spacing w:after="0"/>
              <w:rPr>
                <w:sz w:val="20"/>
                <w:szCs w:val="20"/>
                <w:color w:val="auto"/>
              </w:rPr>
            </w:pPr>
            <w:r>
              <w:rPr>
                <w:rFonts w:ascii="Arial" w:cs="Arial" w:eastAsia="Arial" w:hAnsi="Arial"/>
                <w:sz w:val="10"/>
                <w:szCs w:val="10"/>
                <w:color w:val="auto"/>
              </w:rPr>
              <w:t>409,509</w:t>
            </w:r>
          </w:p>
        </w:tc>
        <w:tc>
          <w:tcPr>
            <w:tcW w:w="220" w:type="dxa"/>
            <w:vAlign w:val="bottom"/>
            <w:shd w:val="clear" w:color="auto" w:fill="DBDBDB"/>
          </w:tcPr>
          <w:p>
            <w:pPr>
              <w:spacing w:after="0"/>
              <w:rPr>
                <w:sz w:val="13"/>
                <w:szCs w:val="13"/>
                <w:color w:val="auto"/>
              </w:rPr>
            </w:pPr>
          </w:p>
        </w:tc>
        <w:tc>
          <w:tcPr>
            <w:tcW w:w="12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592,427</w:t>
            </w:r>
          </w:p>
        </w:tc>
        <w:tc>
          <w:tcPr>
            <w:tcW w:w="6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ind w:left="240"/>
              <w:spacing w:after="0"/>
              <w:rPr>
                <w:sz w:val="20"/>
                <w:szCs w:val="20"/>
                <w:color w:val="auto"/>
              </w:rPr>
            </w:pPr>
            <w:r>
              <w:rPr>
                <w:rFonts w:ascii="Arial" w:cs="Arial" w:eastAsia="Arial" w:hAnsi="Arial"/>
                <w:sz w:val="10"/>
                <w:szCs w:val="10"/>
                <w:color w:val="auto"/>
              </w:rPr>
              <w:t>41,006</w:t>
            </w:r>
          </w:p>
        </w:tc>
        <w:tc>
          <w:tcPr>
            <w:tcW w:w="8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1,496,557</w:t>
            </w:r>
          </w:p>
        </w:tc>
        <w:tc>
          <w:tcPr>
            <w:tcW w:w="0" w:type="dxa"/>
            <w:vAlign w:val="bottom"/>
          </w:tcPr>
          <w:p>
            <w:pPr>
              <w:spacing w:after="0"/>
              <w:rPr>
                <w:sz w:val="1"/>
                <w:szCs w:val="1"/>
                <w:color w:val="auto"/>
              </w:rPr>
            </w:pPr>
          </w:p>
        </w:tc>
      </w:tr>
      <w:tr>
        <w:trPr>
          <w:trHeight w:val="168"/>
        </w:trPr>
        <w:tc>
          <w:tcPr>
            <w:tcW w:w="2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2024</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449,231</w:t>
            </w:r>
          </w:p>
        </w:tc>
        <w:tc>
          <w:tcPr>
            <w:tcW w:w="80" w:type="dxa"/>
            <w:vAlign w:val="bottom"/>
            <w:shd w:val="clear" w:color="auto" w:fill="DBDBDB"/>
          </w:tcPr>
          <w:p>
            <w:pPr>
              <w:spacing w:after="0"/>
              <w:rPr>
                <w:sz w:val="14"/>
                <w:szCs w:val="14"/>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573"/>
              <w:spacing w:after="0"/>
              <w:rPr>
                <w:sz w:val="20"/>
                <w:szCs w:val="20"/>
                <w:color w:val="auto"/>
              </w:rPr>
            </w:pPr>
            <w:r>
              <w:rPr>
                <w:rFonts w:ascii="Arial" w:cs="Arial" w:eastAsia="Arial" w:hAnsi="Arial"/>
                <w:sz w:val="10"/>
                <w:szCs w:val="10"/>
                <w:color w:val="auto"/>
              </w:rPr>
              <w:t>520,823</w:t>
            </w:r>
          </w:p>
        </w:tc>
        <w:tc>
          <w:tcPr>
            <w:tcW w:w="22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652"/>
              <w:spacing w:after="0"/>
              <w:rPr>
                <w:sz w:val="20"/>
                <w:szCs w:val="20"/>
                <w:color w:val="auto"/>
              </w:rPr>
            </w:pPr>
            <w:r>
              <w:rPr>
                <w:rFonts w:ascii="Arial" w:cs="Arial" w:eastAsia="Arial" w:hAnsi="Arial"/>
                <w:sz w:val="10"/>
                <w:szCs w:val="10"/>
                <w:color w:val="auto"/>
              </w:rPr>
              <w:t>377,591</w:t>
            </w:r>
          </w:p>
        </w:tc>
        <w:tc>
          <w:tcPr>
            <w:tcW w:w="6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ind w:left="240"/>
              <w:spacing w:after="0"/>
              <w:rPr>
                <w:sz w:val="20"/>
                <w:szCs w:val="20"/>
                <w:color w:val="auto"/>
              </w:rPr>
            </w:pPr>
            <w:r>
              <w:rPr>
                <w:rFonts w:ascii="Arial" w:cs="Arial" w:eastAsia="Arial" w:hAnsi="Arial"/>
                <w:sz w:val="10"/>
                <w:szCs w:val="10"/>
                <w:color w:val="auto"/>
              </w:rPr>
              <w:t>46,924</w:t>
            </w:r>
          </w:p>
        </w:tc>
        <w:tc>
          <w:tcPr>
            <w:tcW w:w="80" w:type="dxa"/>
            <w:vAlign w:val="bottom"/>
            <w:shd w:val="clear" w:color="auto" w:fill="DBDBDB"/>
          </w:tcPr>
          <w:p>
            <w:pPr>
              <w:spacing w:after="0"/>
              <w:rPr>
                <w:sz w:val="14"/>
                <w:szCs w:val="14"/>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1,394,569</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Arial" w:cs="Arial" w:eastAsia="Arial" w:hAnsi="Arial"/>
                <w:sz w:val="10"/>
                <w:szCs w:val="10"/>
                <w:color w:val="auto"/>
              </w:rPr>
              <w:t>Ty R. Silberhorn</w:t>
            </w:r>
            <w:r>
              <w:rPr>
                <w:rFonts w:ascii="Arial" w:cs="Arial" w:eastAsia="Arial" w:hAnsi="Arial"/>
                <w:sz w:val="12"/>
                <w:szCs w:val="12"/>
                <w:color w:val="auto"/>
                <w:vertAlign w:val="superscript"/>
              </w:rPr>
              <w:t>(9)</w:t>
            </w: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627,308</w:t>
            </w:r>
          </w:p>
        </w:tc>
        <w:tc>
          <w:tcPr>
            <w:tcW w:w="8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right"/>
              <w:ind w:right="573"/>
              <w:spacing w:after="0"/>
              <w:rPr>
                <w:sz w:val="20"/>
                <w:szCs w:val="20"/>
                <w:color w:val="auto"/>
              </w:rPr>
            </w:pPr>
            <w:r>
              <w:rPr>
                <w:rFonts w:ascii="Arial" w:cs="Arial" w:eastAsia="Arial" w:hAnsi="Arial"/>
                <w:sz w:val="10"/>
                <w:szCs w:val="10"/>
                <w:color w:val="auto"/>
              </w:rPr>
              <w:t>2,283,419</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94"/>
              </w:rPr>
              <w:t>1,208,500</w:t>
            </w:r>
          </w:p>
        </w:tc>
        <w:tc>
          <w:tcPr>
            <w:tcW w:w="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1120" w:type="dxa"/>
            <w:vAlign w:val="bottom"/>
          </w:tcPr>
          <w:p>
            <w:pPr>
              <w:jc w:val="center"/>
              <w:spacing w:after="0"/>
              <w:rPr>
                <w:sz w:val="20"/>
                <w:szCs w:val="20"/>
                <w:color w:val="auto"/>
              </w:rPr>
            </w:pPr>
            <w:r>
              <w:rPr>
                <w:rFonts w:ascii="Arial" w:cs="Arial" w:eastAsia="Arial" w:hAnsi="Arial"/>
                <w:sz w:val="10"/>
                <w:szCs w:val="10"/>
                <w:color w:val="auto"/>
                <w:w w:val="94"/>
              </w:rPr>
              <w:t>1,956,059</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94"/>
              </w:rPr>
              <w:t>6,075,286</w:t>
            </w:r>
          </w:p>
        </w:tc>
        <w:tc>
          <w:tcPr>
            <w:tcW w:w="0" w:type="dxa"/>
            <w:vAlign w:val="bottom"/>
          </w:tcPr>
          <w:p>
            <w:pPr>
              <w:spacing w:after="0"/>
              <w:rPr>
                <w:sz w:val="1"/>
                <w:szCs w:val="1"/>
                <w:color w:val="auto"/>
              </w:rPr>
            </w:pPr>
          </w:p>
        </w:tc>
      </w:tr>
      <w:tr>
        <w:trPr>
          <w:trHeight w:val="128"/>
        </w:trPr>
        <w:tc>
          <w:tcPr>
            <w:tcW w:w="2120" w:type="dxa"/>
            <w:vAlign w:val="bottom"/>
          </w:tcPr>
          <w:p>
            <w:pPr>
              <w:ind w:left="120"/>
              <w:spacing w:after="0"/>
              <w:rPr>
                <w:sz w:val="20"/>
                <w:szCs w:val="20"/>
                <w:color w:val="auto"/>
              </w:rPr>
            </w:pPr>
            <w:r>
              <w:rPr>
                <w:rFonts w:ascii="Arial" w:cs="Arial" w:eastAsia="Arial" w:hAnsi="Arial"/>
                <w:sz w:val="10"/>
                <w:szCs w:val="10"/>
                <w:color w:val="auto"/>
                <w:w w:val="98"/>
              </w:rPr>
              <w:t>Former Chief Executive Officer and President</w:t>
            </w: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928,308</w:t>
            </w:r>
          </w:p>
        </w:tc>
        <w:tc>
          <w:tcPr>
            <w:tcW w:w="8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right"/>
              <w:ind w:right="573"/>
              <w:spacing w:after="0"/>
              <w:rPr>
                <w:sz w:val="20"/>
                <w:szCs w:val="20"/>
                <w:color w:val="auto"/>
              </w:rPr>
            </w:pPr>
            <w:r>
              <w:rPr>
                <w:rFonts w:ascii="Arial" w:cs="Arial" w:eastAsia="Arial" w:hAnsi="Arial"/>
                <w:sz w:val="10"/>
                <w:szCs w:val="10"/>
                <w:color w:val="auto"/>
              </w:rPr>
              <w:t>2,120,267</w:t>
            </w:r>
          </w:p>
        </w:tc>
        <w:tc>
          <w:tcPr>
            <w:tcW w:w="22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94"/>
              </w:rPr>
              <w:t>2,043,253</w:t>
            </w:r>
          </w:p>
        </w:tc>
        <w:tc>
          <w:tcPr>
            <w:tcW w:w="60" w:type="dxa"/>
            <w:vAlign w:val="bottom"/>
          </w:tcPr>
          <w:p>
            <w:pPr>
              <w:spacing w:after="0"/>
              <w:rPr>
                <w:sz w:val="11"/>
                <w:szCs w:val="11"/>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1120" w:type="dxa"/>
            <w:vAlign w:val="bottom"/>
          </w:tcPr>
          <w:p>
            <w:pPr>
              <w:jc w:val="right"/>
              <w:ind w:right="572"/>
              <w:spacing w:after="0"/>
              <w:rPr>
                <w:sz w:val="20"/>
                <w:szCs w:val="20"/>
                <w:color w:val="auto"/>
              </w:rPr>
            </w:pPr>
            <w:r>
              <w:rPr>
                <w:rFonts w:ascii="Arial" w:cs="Arial" w:eastAsia="Arial" w:hAnsi="Arial"/>
                <w:sz w:val="10"/>
                <w:szCs w:val="10"/>
                <w:color w:val="auto"/>
              </w:rPr>
              <w:t>163,698</w:t>
            </w: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94"/>
              </w:rPr>
              <w:t>5,255,526</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3"/>
                <w:szCs w:val="13"/>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0"/>
                <w:szCs w:val="10"/>
                <w:color w:val="auto"/>
                <w:w w:val="89"/>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909,231</w:t>
            </w:r>
          </w:p>
        </w:tc>
        <w:tc>
          <w:tcPr>
            <w:tcW w:w="8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right"/>
              <w:ind w:right="573"/>
              <w:spacing w:after="0"/>
              <w:rPr>
                <w:sz w:val="20"/>
                <w:szCs w:val="20"/>
                <w:color w:val="auto"/>
              </w:rPr>
            </w:pPr>
            <w:r>
              <w:rPr>
                <w:rFonts w:ascii="Arial" w:cs="Arial" w:eastAsia="Arial" w:hAnsi="Arial"/>
                <w:sz w:val="10"/>
                <w:szCs w:val="10"/>
                <w:color w:val="auto"/>
              </w:rPr>
              <w:t>1,732,495</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94"/>
              </w:rPr>
              <w:t>2,674,740</w:t>
            </w:r>
          </w:p>
        </w:tc>
        <w:tc>
          <w:tcPr>
            <w:tcW w:w="60" w:type="dxa"/>
            <w:vAlign w:val="bottom"/>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1120" w:type="dxa"/>
            <w:vAlign w:val="bottom"/>
          </w:tcPr>
          <w:p>
            <w:pPr>
              <w:jc w:val="right"/>
              <w:ind w:right="572"/>
              <w:spacing w:after="0"/>
              <w:rPr>
                <w:sz w:val="20"/>
                <w:szCs w:val="20"/>
                <w:color w:val="auto"/>
              </w:rPr>
            </w:pPr>
            <w:r>
              <w:rPr>
                <w:rFonts w:ascii="Arial" w:cs="Arial" w:eastAsia="Arial" w:hAnsi="Arial"/>
                <w:sz w:val="10"/>
                <w:szCs w:val="10"/>
                <w:color w:val="auto"/>
              </w:rPr>
              <w:t>181,931</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94"/>
              </w:rPr>
              <w:t>5,498,397</w:t>
            </w:r>
          </w:p>
        </w:tc>
        <w:tc>
          <w:tcPr>
            <w:tcW w:w="0" w:type="dxa"/>
            <w:vAlign w:val="bottom"/>
          </w:tcPr>
          <w:p>
            <w:pPr>
              <w:spacing w:after="0"/>
              <w:rPr>
                <w:sz w:val="1"/>
                <w:szCs w:val="1"/>
                <w:color w:val="auto"/>
              </w:rPr>
            </w:pPr>
          </w:p>
        </w:tc>
      </w:tr>
      <w:tr>
        <w:trPr>
          <w:trHeight w:val="160"/>
        </w:trPr>
        <w:tc>
          <w:tcPr>
            <w:tcW w:w="2120" w:type="dxa"/>
            <w:vAlign w:val="bottom"/>
            <w:shd w:val="clear" w:color="auto" w:fill="DBDBDB"/>
          </w:tcPr>
          <w:p>
            <w:pPr>
              <w:spacing w:after="0"/>
              <w:rPr>
                <w:sz w:val="20"/>
                <w:szCs w:val="20"/>
                <w:color w:val="auto"/>
              </w:rPr>
            </w:pPr>
            <w:r>
              <w:rPr>
                <w:rFonts w:ascii="Arial" w:cs="Arial" w:eastAsia="Arial" w:hAnsi="Arial"/>
                <w:sz w:val="10"/>
                <w:szCs w:val="10"/>
                <w:color w:val="auto"/>
              </w:rPr>
              <w:t>Matthew J. Osberg</w:t>
            </w:r>
            <w:r>
              <w:rPr>
                <w:rFonts w:ascii="Arial" w:cs="Arial" w:eastAsia="Arial" w:hAnsi="Arial"/>
                <w:sz w:val="12"/>
                <w:szCs w:val="12"/>
                <w:color w:val="auto"/>
                <w:vertAlign w:val="superscript"/>
              </w:rPr>
              <w:t>(10)</w:t>
            </w:r>
          </w:p>
        </w:tc>
        <w:tc>
          <w:tcPr>
            <w:tcW w:w="800" w:type="dxa"/>
            <w:vAlign w:val="bottom"/>
            <w:gridSpan w:val="2"/>
            <w:shd w:val="clear" w:color="auto" w:fill="DBDBDB"/>
          </w:tcPr>
          <w:p>
            <w:pPr>
              <w:jc w:val="center"/>
              <w:ind w:left="32"/>
              <w:spacing w:after="0"/>
              <w:rPr>
                <w:sz w:val="20"/>
                <w:szCs w:val="20"/>
                <w:color w:val="auto"/>
              </w:rPr>
            </w:pPr>
            <w:r>
              <w:rPr>
                <w:rFonts w:ascii="Arial" w:cs="Arial" w:eastAsia="Arial" w:hAnsi="Arial"/>
                <w:sz w:val="10"/>
                <w:szCs w:val="10"/>
                <w:color w:val="auto"/>
                <w:w w:val="89"/>
              </w:rPr>
              <w:t>2026</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591,462</w:t>
            </w:r>
          </w:p>
        </w:tc>
        <w:tc>
          <w:tcPr>
            <w:tcW w:w="8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573"/>
              <w:spacing w:after="0"/>
              <w:rPr>
                <w:sz w:val="20"/>
                <w:szCs w:val="20"/>
                <w:color w:val="auto"/>
              </w:rPr>
            </w:pPr>
            <w:r>
              <w:rPr>
                <w:rFonts w:ascii="Arial" w:cs="Arial" w:eastAsia="Arial" w:hAnsi="Arial"/>
                <w:sz w:val="10"/>
                <w:szCs w:val="10"/>
                <w:color w:val="auto"/>
              </w:rPr>
              <w:t>806,385</w:t>
            </w:r>
          </w:p>
        </w:tc>
        <w:tc>
          <w:tcPr>
            <w:tcW w:w="220" w:type="dxa"/>
            <w:vAlign w:val="bottom"/>
            <w:shd w:val="clear" w:color="auto" w:fill="DBDBDB"/>
          </w:tcPr>
          <w:p>
            <w:pPr>
              <w:spacing w:after="0"/>
              <w:rPr>
                <w:sz w:val="13"/>
                <w:szCs w:val="13"/>
                <w:color w:val="auto"/>
              </w:rPr>
            </w:pPr>
          </w:p>
        </w:tc>
        <w:tc>
          <w:tcPr>
            <w:tcW w:w="126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ind w:left="240"/>
              <w:spacing w:after="0"/>
              <w:rPr>
                <w:sz w:val="20"/>
                <w:szCs w:val="20"/>
                <w:color w:val="auto"/>
              </w:rPr>
            </w:pPr>
            <w:r>
              <w:rPr>
                <w:rFonts w:ascii="Arial" w:cs="Arial" w:eastAsia="Arial" w:hAnsi="Arial"/>
                <w:sz w:val="10"/>
                <w:szCs w:val="10"/>
                <w:color w:val="auto"/>
              </w:rPr>
              <w:t>11,720</w:t>
            </w:r>
          </w:p>
        </w:tc>
        <w:tc>
          <w:tcPr>
            <w:tcW w:w="8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1,409,567</w:t>
            </w:r>
          </w:p>
        </w:tc>
        <w:tc>
          <w:tcPr>
            <w:tcW w:w="0" w:type="dxa"/>
            <w:vAlign w:val="bottom"/>
          </w:tcPr>
          <w:p>
            <w:pPr>
              <w:spacing w:after="0"/>
              <w:rPr>
                <w:sz w:val="1"/>
                <w:szCs w:val="1"/>
                <w:color w:val="auto"/>
              </w:rPr>
            </w:pPr>
          </w:p>
        </w:tc>
      </w:tr>
      <w:tr>
        <w:trPr>
          <w:trHeight w:val="130"/>
        </w:trPr>
        <w:tc>
          <w:tcPr>
            <w:tcW w:w="2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Former Executive Vice President and Chief</w:t>
            </w: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89"/>
              </w:rPr>
              <w:t>2025</w:t>
            </w:r>
          </w:p>
        </w:tc>
        <w:tc>
          <w:tcPr>
            <w:tcW w:w="8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6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644,154</w:t>
            </w:r>
          </w:p>
        </w:tc>
        <w:tc>
          <w:tcPr>
            <w:tcW w:w="80" w:type="dxa"/>
            <w:vAlign w:val="bottom"/>
            <w:shd w:val="clear" w:color="auto" w:fill="DBDBDB"/>
          </w:tcPr>
          <w:p>
            <w:pPr>
              <w:spacing w:after="0"/>
              <w:rPr>
                <w:sz w:val="11"/>
                <w:szCs w:val="11"/>
                <w:color w:val="auto"/>
              </w:rPr>
            </w:pPr>
          </w:p>
        </w:tc>
        <w:tc>
          <w:tcPr>
            <w:tcW w:w="1140" w:type="dxa"/>
            <w:vAlign w:val="bottom"/>
            <w:gridSpan w:val="2"/>
            <w:shd w:val="clear" w:color="auto" w:fill="DBDBDB"/>
          </w:tcPr>
          <w:p>
            <w:pPr>
              <w:jc w:val="center"/>
              <w:ind w:right="12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DBDBDB"/>
          </w:tcPr>
          <w:p>
            <w:pPr>
              <w:jc w:val="right"/>
              <w:ind w:right="573"/>
              <w:spacing w:after="0"/>
              <w:rPr>
                <w:sz w:val="20"/>
                <w:szCs w:val="20"/>
                <w:color w:val="auto"/>
              </w:rPr>
            </w:pPr>
            <w:r>
              <w:rPr>
                <w:rFonts w:ascii="Arial" w:cs="Arial" w:eastAsia="Arial" w:hAnsi="Arial"/>
                <w:sz w:val="10"/>
                <w:szCs w:val="10"/>
                <w:color w:val="auto"/>
              </w:rPr>
              <w:t>726,726</w:t>
            </w:r>
          </w:p>
        </w:tc>
        <w:tc>
          <w:tcPr>
            <w:tcW w:w="220" w:type="dxa"/>
            <w:vAlign w:val="bottom"/>
            <w:shd w:val="clear" w:color="auto" w:fill="DBDBDB"/>
          </w:tcPr>
          <w:p>
            <w:pPr>
              <w:spacing w:after="0"/>
              <w:rPr>
                <w:sz w:val="11"/>
                <w:szCs w:val="11"/>
                <w:color w:val="auto"/>
              </w:rPr>
            </w:pPr>
          </w:p>
        </w:tc>
        <w:tc>
          <w:tcPr>
            <w:tcW w:w="12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407,174</w:t>
            </w:r>
          </w:p>
        </w:tc>
        <w:tc>
          <w:tcPr>
            <w:tcW w:w="60" w:type="dxa"/>
            <w:vAlign w:val="bottom"/>
            <w:shd w:val="clear" w:color="auto" w:fill="DBDBDB"/>
          </w:tcPr>
          <w:p>
            <w:pPr>
              <w:spacing w:after="0"/>
              <w:rPr>
                <w:sz w:val="11"/>
                <w:szCs w:val="11"/>
                <w:color w:val="auto"/>
              </w:rPr>
            </w:pPr>
          </w:p>
        </w:tc>
        <w:tc>
          <w:tcPr>
            <w:tcW w:w="102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shd w:val="clear" w:color="auto" w:fill="DBDBDB"/>
          </w:tcPr>
          <w:p>
            <w:pPr>
              <w:ind w:left="240"/>
              <w:spacing w:after="0"/>
              <w:rPr>
                <w:sz w:val="20"/>
                <w:szCs w:val="20"/>
                <w:color w:val="auto"/>
              </w:rPr>
            </w:pPr>
            <w:r>
              <w:rPr>
                <w:rFonts w:ascii="Arial" w:cs="Arial" w:eastAsia="Arial" w:hAnsi="Arial"/>
                <w:sz w:val="10"/>
                <w:szCs w:val="10"/>
                <w:color w:val="auto"/>
              </w:rPr>
              <w:t>39,781</w:t>
            </w:r>
          </w:p>
        </w:tc>
        <w:tc>
          <w:tcPr>
            <w:tcW w:w="80" w:type="dxa"/>
            <w:vAlign w:val="bottom"/>
            <w:shd w:val="clear" w:color="auto" w:fill="DBDBDB"/>
          </w:tcPr>
          <w:p>
            <w:pPr>
              <w:spacing w:after="0"/>
              <w:rPr>
                <w:sz w:val="11"/>
                <w:szCs w:val="11"/>
                <w:color w:val="auto"/>
              </w:rPr>
            </w:pPr>
          </w:p>
        </w:tc>
        <w:tc>
          <w:tcPr>
            <w:tcW w:w="1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1,817,835</w:t>
            </w:r>
          </w:p>
        </w:tc>
        <w:tc>
          <w:tcPr>
            <w:tcW w:w="0" w:type="dxa"/>
            <w:vAlign w:val="bottom"/>
          </w:tcPr>
          <w:p>
            <w:pPr>
              <w:spacing w:after="0"/>
              <w:rPr>
                <w:sz w:val="1"/>
                <w:szCs w:val="1"/>
                <w:color w:val="auto"/>
              </w:rPr>
            </w:pPr>
          </w:p>
        </w:tc>
      </w:tr>
      <w:tr>
        <w:trPr>
          <w:trHeight w:val="125"/>
        </w:trPr>
        <w:tc>
          <w:tcPr>
            <w:tcW w:w="2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Financial Officer</w:t>
            </w:r>
          </w:p>
        </w:tc>
        <w:tc>
          <w:tcPr>
            <w:tcW w:w="80" w:type="dxa"/>
            <w:vAlign w:val="bottom"/>
            <w:shd w:val="clear" w:color="auto" w:fill="DBDBDB"/>
          </w:tcPr>
          <w:p>
            <w:pPr>
              <w:spacing w:after="0"/>
              <w:rPr>
                <w:sz w:val="10"/>
                <w:szCs w:val="10"/>
                <w:color w:val="auto"/>
              </w:rPr>
            </w:pPr>
          </w:p>
        </w:tc>
        <w:tc>
          <w:tcPr>
            <w:tcW w:w="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89"/>
              </w:rPr>
              <w:t>2024</w:t>
            </w:r>
          </w:p>
        </w:tc>
        <w:tc>
          <w:tcPr>
            <w:tcW w:w="80" w:type="dxa"/>
            <w:vAlign w:val="bottom"/>
            <w:shd w:val="clear" w:color="auto" w:fill="DBDBDB"/>
          </w:tcPr>
          <w:p>
            <w:pPr>
              <w:spacing w:after="0"/>
              <w:rPr>
                <w:sz w:val="10"/>
                <w:szCs w:val="10"/>
                <w:color w:val="auto"/>
              </w:rPr>
            </w:pPr>
          </w:p>
        </w:tc>
        <w:tc>
          <w:tcPr>
            <w:tcW w:w="340" w:type="dxa"/>
            <w:vAlign w:val="bottom"/>
            <w:shd w:val="clear" w:color="auto" w:fill="DBDBDB"/>
          </w:tcPr>
          <w:p>
            <w:pPr>
              <w:spacing w:after="0"/>
              <w:rPr>
                <w:sz w:val="10"/>
                <w:szCs w:val="10"/>
                <w:color w:val="auto"/>
              </w:rPr>
            </w:pPr>
          </w:p>
        </w:tc>
        <w:tc>
          <w:tcPr>
            <w:tcW w:w="660" w:type="dxa"/>
            <w:vAlign w:val="bottom"/>
            <w:vMerge w:val="restart"/>
            <w:shd w:val="clear" w:color="auto" w:fill="DBDBDB"/>
          </w:tcPr>
          <w:p>
            <w:pPr>
              <w:jc w:val="right"/>
              <w:ind w:right="32"/>
              <w:spacing w:after="0"/>
              <w:rPr>
                <w:sz w:val="20"/>
                <w:szCs w:val="20"/>
                <w:color w:val="auto"/>
              </w:rPr>
            </w:pPr>
            <w:r>
              <w:rPr>
                <w:rFonts w:ascii="Arial" w:cs="Arial" w:eastAsia="Arial" w:hAnsi="Arial"/>
                <w:sz w:val="10"/>
                <w:szCs w:val="10"/>
                <w:color w:val="auto"/>
              </w:rPr>
              <w:t>535,500</w:t>
            </w:r>
          </w:p>
        </w:tc>
        <w:tc>
          <w:tcPr>
            <w:tcW w:w="1120" w:type="dxa"/>
            <w:vAlign w:val="bottom"/>
            <w:gridSpan w:val="2"/>
            <w:vMerge w:val="restart"/>
            <w:shd w:val="clear" w:color="auto" w:fill="DBDBDB"/>
          </w:tcPr>
          <w:p>
            <w:pPr>
              <w:jc w:val="center"/>
              <w:ind w:left="12"/>
              <w:spacing w:after="0"/>
              <w:rPr>
                <w:sz w:val="20"/>
                <w:szCs w:val="20"/>
                <w:color w:val="auto"/>
              </w:rPr>
            </w:pPr>
            <w:r>
              <w:rPr>
                <w:rFonts w:ascii="Arial" w:cs="Arial" w:eastAsia="Arial" w:hAnsi="Arial"/>
                <w:sz w:val="10"/>
                <w:szCs w:val="10"/>
                <w:color w:val="auto"/>
                <w:w w:val="93"/>
              </w:rPr>
              <w:t>150,000</w:t>
            </w:r>
          </w:p>
        </w:tc>
        <w:tc>
          <w:tcPr>
            <w:tcW w:w="100" w:type="dxa"/>
            <w:vAlign w:val="bottom"/>
            <w:shd w:val="clear" w:color="auto" w:fill="DBDBDB"/>
          </w:tcPr>
          <w:p>
            <w:pPr>
              <w:spacing w:after="0"/>
              <w:rPr>
                <w:sz w:val="10"/>
                <w:szCs w:val="10"/>
                <w:color w:val="auto"/>
              </w:rPr>
            </w:pPr>
          </w:p>
        </w:tc>
        <w:tc>
          <w:tcPr>
            <w:tcW w:w="11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8"/>
              </w:rPr>
              <w:t>1,308,763</w:t>
            </w:r>
          </w:p>
        </w:tc>
        <w:tc>
          <w:tcPr>
            <w:tcW w:w="220" w:type="dxa"/>
            <w:vAlign w:val="bottom"/>
            <w:shd w:val="clear" w:color="auto" w:fill="DBDBDB"/>
          </w:tcPr>
          <w:p>
            <w:pPr>
              <w:spacing w:after="0"/>
              <w:rPr>
                <w:sz w:val="10"/>
                <w:szCs w:val="10"/>
                <w:color w:val="auto"/>
              </w:rPr>
            </w:pPr>
          </w:p>
        </w:tc>
        <w:tc>
          <w:tcPr>
            <w:tcW w:w="12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3"/>
              </w:rPr>
              <w:t>645,199</w:t>
            </w:r>
          </w:p>
        </w:tc>
        <w:tc>
          <w:tcPr>
            <w:tcW w:w="60" w:type="dxa"/>
            <w:vAlign w:val="bottom"/>
            <w:shd w:val="clear" w:color="auto" w:fill="DBDBDB"/>
          </w:tcPr>
          <w:p>
            <w:pPr>
              <w:spacing w:after="0"/>
              <w:rPr>
                <w:sz w:val="10"/>
                <w:szCs w:val="10"/>
                <w:color w:val="auto"/>
              </w:rPr>
            </w:pPr>
          </w:p>
        </w:tc>
        <w:tc>
          <w:tcPr>
            <w:tcW w:w="1020" w:type="dxa"/>
            <w:vAlign w:val="bottom"/>
            <w:gridSpan w:val="2"/>
            <w:vMerge w:val="restart"/>
            <w:shd w:val="clear" w:color="auto" w:fill="DBDBDB"/>
          </w:tcPr>
          <w:p>
            <w:pPr>
              <w:jc w:val="center"/>
              <w:ind w:right="60"/>
              <w:spacing w:after="0"/>
              <w:rPr>
                <w:sz w:val="20"/>
                <w:szCs w:val="20"/>
                <w:color w:val="auto"/>
              </w:rPr>
            </w:pPr>
            <w:r>
              <w:rPr>
                <w:rFonts w:ascii="Arial" w:cs="Arial" w:eastAsia="Arial" w:hAnsi="Arial"/>
                <w:sz w:val="10"/>
                <w:szCs w:val="10"/>
                <w:color w:val="auto"/>
                <w:w w:val="79"/>
              </w:rPr>
              <w:t>—</w:t>
            </w:r>
          </w:p>
        </w:tc>
        <w:tc>
          <w:tcPr>
            <w:tcW w:w="1120" w:type="dxa"/>
            <w:vAlign w:val="bottom"/>
            <w:vMerge w:val="restart"/>
            <w:shd w:val="clear" w:color="auto" w:fill="DBDBDB"/>
          </w:tcPr>
          <w:p>
            <w:pPr>
              <w:ind w:left="240"/>
              <w:spacing w:after="0"/>
              <w:rPr>
                <w:sz w:val="20"/>
                <w:szCs w:val="20"/>
                <w:color w:val="auto"/>
              </w:rPr>
            </w:pPr>
            <w:r>
              <w:rPr>
                <w:rFonts w:ascii="Arial" w:cs="Arial" w:eastAsia="Arial" w:hAnsi="Arial"/>
                <w:sz w:val="10"/>
                <w:szCs w:val="10"/>
                <w:color w:val="auto"/>
              </w:rPr>
              <w:t>35,855</w:t>
            </w:r>
          </w:p>
        </w:tc>
        <w:tc>
          <w:tcPr>
            <w:tcW w:w="80" w:type="dxa"/>
            <w:vAlign w:val="bottom"/>
            <w:shd w:val="clear" w:color="auto" w:fill="DBDBDB"/>
          </w:tcPr>
          <w:p>
            <w:pPr>
              <w:spacing w:after="0"/>
              <w:rPr>
                <w:sz w:val="10"/>
                <w:szCs w:val="10"/>
                <w:color w:val="auto"/>
              </w:rPr>
            </w:pPr>
          </w:p>
        </w:tc>
        <w:tc>
          <w:tcPr>
            <w:tcW w:w="1240" w:type="dxa"/>
            <w:vAlign w:val="bottom"/>
            <w:vMerge w:val="restart"/>
            <w:shd w:val="clear" w:color="auto" w:fill="DBDBDB"/>
          </w:tcPr>
          <w:p>
            <w:pPr>
              <w:jc w:val="right"/>
              <w:ind w:right="112"/>
              <w:spacing w:after="0"/>
              <w:rPr>
                <w:sz w:val="20"/>
                <w:szCs w:val="20"/>
                <w:color w:val="auto"/>
              </w:rPr>
            </w:pPr>
            <w:r>
              <w:rPr>
                <w:rFonts w:ascii="Arial" w:cs="Arial" w:eastAsia="Arial" w:hAnsi="Arial"/>
                <w:sz w:val="10"/>
                <w:szCs w:val="10"/>
                <w:color w:val="auto"/>
              </w:rPr>
              <w:t>2,675,317</w:t>
            </w:r>
          </w:p>
        </w:tc>
        <w:tc>
          <w:tcPr>
            <w:tcW w:w="0" w:type="dxa"/>
            <w:vAlign w:val="bottom"/>
          </w:tcPr>
          <w:p>
            <w:pPr>
              <w:spacing w:after="0"/>
              <w:rPr>
                <w:sz w:val="1"/>
                <w:szCs w:val="1"/>
                <w:color w:val="auto"/>
              </w:rPr>
            </w:pPr>
          </w:p>
        </w:tc>
      </w:tr>
      <w:tr>
        <w:trPr>
          <w:trHeight w:val="63"/>
        </w:trPr>
        <w:tc>
          <w:tcPr>
            <w:tcW w:w="212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720" w:type="dxa"/>
            <w:vAlign w:val="bottom"/>
            <w:vMerge w:val="continue"/>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340" w:type="dxa"/>
            <w:vAlign w:val="bottom"/>
            <w:shd w:val="clear" w:color="auto" w:fill="DBDBDB"/>
          </w:tcPr>
          <w:p>
            <w:pPr>
              <w:spacing w:after="0"/>
              <w:rPr>
                <w:sz w:val="5"/>
                <w:szCs w:val="5"/>
                <w:color w:val="auto"/>
              </w:rPr>
            </w:pPr>
          </w:p>
        </w:tc>
        <w:tc>
          <w:tcPr>
            <w:tcW w:w="660" w:type="dxa"/>
            <w:vAlign w:val="bottom"/>
            <w:vMerge w:val="continue"/>
            <w:shd w:val="clear" w:color="auto" w:fill="DBDBDB"/>
          </w:tcPr>
          <w:p>
            <w:pPr>
              <w:spacing w:after="0"/>
              <w:rPr>
                <w:sz w:val="5"/>
                <w:szCs w:val="5"/>
                <w:color w:val="auto"/>
              </w:rPr>
            </w:pPr>
          </w:p>
        </w:tc>
        <w:tc>
          <w:tcPr>
            <w:tcW w:w="1120" w:type="dxa"/>
            <w:vAlign w:val="bottom"/>
            <w:gridSpan w:val="2"/>
            <w:vMerge w:val="continue"/>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140" w:type="dxa"/>
            <w:vAlign w:val="bottom"/>
            <w:vMerge w:val="continue"/>
            <w:shd w:val="clear" w:color="auto" w:fill="DBDBDB"/>
          </w:tcPr>
          <w:p>
            <w:pPr>
              <w:spacing w:after="0"/>
              <w:rPr>
                <w:sz w:val="5"/>
                <w:szCs w:val="5"/>
                <w:color w:val="auto"/>
              </w:rPr>
            </w:pPr>
          </w:p>
        </w:tc>
        <w:tc>
          <w:tcPr>
            <w:tcW w:w="220" w:type="dxa"/>
            <w:vAlign w:val="bottom"/>
            <w:shd w:val="clear" w:color="auto" w:fill="DBDBDB"/>
          </w:tcPr>
          <w:p>
            <w:pPr>
              <w:spacing w:after="0"/>
              <w:rPr>
                <w:sz w:val="5"/>
                <w:szCs w:val="5"/>
                <w:color w:val="auto"/>
              </w:rPr>
            </w:pPr>
          </w:p>
        </w:tc>
        <w:tc>
          <w:tcPr>
            <w:tcW w:w="1200" w:type="dxa"/>
            <w:vAlign w:val="bottom"/>
            <w:vMerge w:val="continue"/>
            <w:shd w:val="clear" w:color="auto" w:fill="DBDBDB"/>
          </w:tcPr>
          <w:p>
            <w:pPr>
              <w:spacing w:after="0"/>
              <w:rPr>
                <w:sz w:val="5"/>
                <w:szCs w:val="5"/>
                <w:color w:val="auto"/>
              </w:rPr>
            </w:pPr>
          </w:p>
        </w:tc>
        <w:tc>
          <w:tcPr>
            <w:tcW w:w="60" w:type="dxa"/>
            <w:vAlign w:val="bottom"/>
            <w:shd w:val="clear" w:color="auto" w:fill="DBDBDB"/>
          </w:tcPr>
          <w:p>
            <w:pPr>
              <w:spacing w:after="0"/>
              <w:rPr>
                <w:sz w:val="5"/>
                <w:szCs w:val="5"/>
                <w:color w:val="auto"/>
              </w:rPr>
            </w:pPr>
          </w:p>
        </w:tc>
        <w:tc>
          <w:tcPr>
            <w:tcW w:w="1020" w:type="dxa"/>
            <w:vAlign w:val="bottom"/>
            <w:gridSpan w:val="2"/>
            <w:vMerge w:val="continue"/>
            <w:shd w:val="clear" w:color="auto" w:fill="DBDBDB"/>
          </w:tcPr>
          <w:p>
            <w:pPr>
              <w:spacing w:after="0"/>
              <w:rPr>
                <w:sz w:val="5"/>
                <w:szCs w:val="5"/>
                <w:color w:val="auto"/>
              </w:rPr>
            </w:pPr>
          </w:p>
        </w:tc>
        <w:tc>
          <w:tcPr>
            <w:tcW w:w="1120" w:type="dxa"/>
            <w:vAlign w:val="bottom"/>
            <w:vMerge w:val="continue"/>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2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1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140" w:type="dxa"/>
            <w:vAlign w:val="bottom"/>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11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jc w:val="both"/>
        <w:ind w:left="328" w:hanging="328"/>
        <w:spacing w:after="0" w:line="268" w:lineRule="auto"/>
        <w:tabs>
          <w:tab w:leader="none" w:pos="322"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amounts shown in this column represent the grant date fair value of the restricted stock awards granted in fiscal 2026, 2025 and 2024. These amounts are calculated in accordance with FASB ASC Topic 718 based on the closing share price of our common stock on the date of grant. See Note 13, Share-Based Compensation, to our fiscal 2026 Audited Financial Statements included in our Annual Report on Form 10-K for the fiscal year ended February 28, 2026, for assumptions made in the valuation.</w:t>
      </w:r>
    </w:p>
    <w:p>
      <w:pPr>
        <w:spacing w:after="0" w:line="41" w:lineRule="exact"/>
        <w:rPr>
          <w:rFonts w:ascii="Arial" w:cs="Arial" w:eastAsia="Arial" w:hAnsi="Arial"/>
          <w:sz w:val="12"/>
          <w:szCs w:val="12"/>
          <w:color w:val="auto"/>
        </w:rPr>
      </w:pPr>
    </w:p>
    <w:p>
      <w:pPr>
        <w:jc w:val="both"/>
        <w:ind w:left="328"/>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The amounts for fiscal 2026 also include the grant date fair value of the time-based restricted stock awards and target payout amounts for the unit-based portion of the fiscal 2026 – 2028 performance awards as follows: Mr. Augdahl, $88,255; Mr. T. Johnson, $136,511; Ms. Lakkundi, $165,017; Mr. Jewell, $138,882; Mr. Silberhorn, $978,608; and Mr. Osberg, $251,995. The maximum payout amounts for the unit-based portion of the fiscal 2026 – 2028 performance awards are as follows: Mr. Augdahl, $176,511; Mr. T. Johnson, $273,021; Ms. Lakkundi, $330,034; Mr. Jewell, $277,765; Mr. Silberhorn, $1,957,216; and Mr. Osberg, $503,991. Further information regarding the fiscal 2026 awards is included in the “Fiscal 2026 Grants of Plan-Based Awards” table beginning on page </w:t>
      </w:r>
      <w:r>
        <w:rPr>
          <w:rFonts w:ascii="Arial" w:cs="Arial" w:eastAsia="Arial" w:hAnsi="Arial"/>
          <w:sz w:val="12"/>
          <w:szCs w:val="12"/>
          <w:u w:val="single" w:color="auto"/>
          <w:color w:val="0000FF"/>
        </w:rPr>
        <w:t>55</w:t>
      </w:r>
      <w:r>
        <w:rPr>
          <w:rFonts w:ascii="Arial" w:cs="Arial" w:eastAsia="Arial" w:hAnsi="Arial"/>
          <w:sz w:val="12"/>
          <w:szCs w:val="12"/>
          <w:color w:val="auto"/>
        </w:rPr>
        <w:t xml:space="preserve"> and “Outstanding Equity Awards at Fiscal 2026 Year-End” table on beginning on page </w:t>
      </w:r>
      <w:r>
        <w:rPr>
          <w:rFonts w:ascii="Arial" w:cs="Arial" w:eastAsia="Arial" w:hAnsi="Arial"/>
          <w:sz w:val="12"/>
          <w:szCs w:val="12"/>
          <w:u w:val="single" w:color="auto"/>
          <w:color w:val="0000FF"/>
        </w:rPr>
        <w:t>57</w:t>
      </w:r>
      <w:r>
        <w:rPr>
          <w:rFonts w:ascii="Arial" w:cs="Arial" w:eastAsia="Arial" w:hAnsi="Arial"/>
          <w:sz w:val="12"/>
          <w:szCs w:val="12"/>
          <w:color w:val="auto"/>
        </w:rPr>
        <w:t>.</w:t>
      </w:r>
    </w:p>
    <w:p>
      <w:pPr>
        <w:spacing w:after="0" w:line="47"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amounts in this column represent the amounts earned pursuant to the formula established for the fiscal 2026 short-term cash incentive awards and the cash payout from the fiscal 2024 – 2026 performance awards.</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57" w:name="page58"/>
    <w:bookmarkEnd w:id="57"/>
    <w:p>
      <w:pPr>
        <w:ind w:left="328" w:right="20" w:hanging="328"/>
        <w:spacing w:after="0" w:line="286" w:lineRule="auto"/>
        <w:tabs>
          <w:tab w:leader="none" w:pos="32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amount in this column represents "above-market" earnings on non-qualified deferred compensation during fiscal 2026 in excess of 5.79%, 120% of the applicable federal rate compounded annually. During fiscal 2026, the interest paid on amounts deferred for plan years beginning prior to January 1, 2010 pursuant to our Legacy Deferred Compensation Plan was 9.03%.</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following table shows each component of the “All Other Compensation” column for each of our Named Executive Officers for fiscal 2026.</w:t>
      </w:r>
    </w:p>
    <w:p>
      <w:pPr>
        <w:spacing w:after="0" w:line="189" w:lineRule="exact"/>
        <w:rPr>
          <w:sz w:val="20"/>
          <w:szCs w:val="20"/>
          <w:color w:val="auto"/>
        </w:rPr>
      </w:pPr>
    </w:p>
    <w:tbl>
      <w:tblPr>
        <w:tblLayout w:type="fixed"/>
        <w:tblInd w:w="328"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8"/>
              </w:rPr>
              <w:t>Employee Stock</w:t>
            </w: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26"/>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05445E"/>
                <w:w w:val="97"/>
              </w:rPr>
              <w:t>401(k) Retirement</w:t>
            </w:r>
          </w:p>
        </w:tc>
        <w:tc>
          <w:tcPr>
            <w:tcW w:w="80" w:type="dxa"/>
            <w:vAlign w:val="bottom"/>
          </w:tcPr>
          <w:p>
            <w:pPr>
              <w:spacing w:after="0"/>
              <w:rPr>
                <w:sz w:val="10"/>
                <w:szCs w:val="10"/>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6"/>
              </w:rPr>
              <w:t>Purchase</w:t>
            </w: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jc w:val="center"/>
              <w:spacing w:after="0"/>
              <w:rPr>
                <w:sz w:val="20"/>
                <w:szCs w:val="20"/>
                <w:color w:val="auto"/>
              </w:rPr>
            </w:pPr>
            <w:r>
              <w:rPr>
                <w:rFonts w:ascii="Arial" w:cs="Arial" w:eastAsia="Arial" w:hAnsi="Arial"/>
                <w:sz w:val="11"/>
                <w:szCs w:val="11"/>
                <w:b w:val="1"/>
                <w:bCs w:val="1"/>
                <w:color w:val="05445E"/>
                <w:w w:val="96"/>
              </w:rPr>
              <w:t>Total All</w:t>
            </w: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05445E"/>
                <w:w w:val="99"/>
              </w:rPr>
              <w:t>Plan Matching</w:t>
            </w:r>
          </w:p>
        </w:tc>
        <w:tc>
          <w:tcPr>
            <w:tcW w:w="80" w:type="dxa"/>
            <w:vAlign w:val="bottom"/>
          </w:tcPr>
          <w:p>
            <w:pPr>
              <w:spacing w:after="0"/>
              <w:rPr>
                <w:sz w:val="11"/>
                <w:szCs w:val="11"/>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8"/>
              </w:rPr>
              <w:t>Plan 15% Matching</w:t>
            </w:r>
          </w:p>
        </w:tc>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8"/>
              </w:rPr>
              <w:t>Travel and Lodging</w:t>
            </w:r>
          </w:p>
        </w:tc>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8"/>
              </w:rPr>
              <w:t>Separation Agreement</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05445E"/>
                <w:w w:val="95"/>
              </w:rPr>
              <w:t>Other</w:t>
            </w:r>
          </w:p>
        </w:tc>
      </w:tr>
      <w:tr>
        <w:trPr>
          <w:trHeight w:val="126"/>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05445E"/>
                <w:w w:val="97"/>
              </w:rPr>
              <w:t>Contributions</w:t>
            </w:r>
          </w:p>
        </w:tc>
        <w:tc>
          <w:tcPr>
            <w:tcW w:w="8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7"/>
              </w:rPr>
              <w:t>Contributions</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7"/>
              </w:rPr>
              <w:t>Expenses</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8"/>
              </w:rPr>
              <w:t>Accruals</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05445E"/>
                <w:w w:val="96"/>
              </w:rPr>
              <w:t>Compensation</w:t>
            </w:r>
          </w:p>
        </w:tc>
      </w:tr>
      <w:tr>
        <w:trPr>
          <w:trHeight w:val="162"/>
        </w:trPr>
        <w:tc>
          <w:tcPr>
            <w:tcW w:w="2100" w:type="dxa"/>
            <w:vAlign w:val="bottom"/>
            <w:tcBorders>
              <w:bottom w:val="single" w:sz="8" w:color="929292"/>
            </w:tcBorders>
          </w:tcPr>
          <w:p>
            <w:pPr>
              <w:ind w:left="60"/>
              <w:spacing w:after="0"/>
              <w:rPr>
                <w:sz w:val="20"/>
                <w:szCs w:val="20"/>
                <w:color w:val="auto"/>
              </w:rPr>
            </w:pPr>
            <w:r>
              <w:rPr>
                <w:rFonts w:ascii="Arial" w:cs="Arial" w:eastAsia="Arial" w:hAnsi="Arial"/>
                <w:sz w:val="11"/>
                <w:szCs w:val="11"/>
                <w:b w:val="1"/>
                <w:bCs w:val="1"/>
                <w:color w:val="05445E"/>
              </w:rPr>
              <w:t>Name</w:t>
            </w:r>
          </w:p>
        </w:tc>
        <w:tc>
          <w:tcPr>
            <w:tcW w:w="80" w:type="dxa"/>
            <w:vAlign w:val="bottom"/>
            <w:tcBorders>
              <w:bottom w:val="single" w:sz="8" w:color="D9D9D9"/>
            </w:tcBorders>
          </w:tcPr>
          <w:p>
            <w:pPr>
              <w:spacing w:after="0"/>
              <w:rPr>
                <w:sz w:val="14"/>
                <w:szCs w:val="14"/>
                <w:color w:val="auto"/>
              </w:rPr>
            </w:pPr>
          </w:p>
        </w:tc>
        <w:tc>
          <w:tcPr>
            <w:tcW w:w="1700" w:type="dxa"/>
            <w:vAlign w:val="bottom"/>
            <w:tcBorders>
              <w:bottom w:val="single" w:sz="8" w:color="929292"/>
            </w:tcBorders>
          </w:tcPr>
          <w:p>
            <w:pPr>
              <w:jc w:val="center"/>
              <w:spacing w:after="0" w:line="162" w:lineRule="exact"/>
              <w:rPr>
                <w:sz w:val="20"/>
                <w:szCs w:val="20"/>
                <w:color w:val="auto"/>
              </w:rPr>
            </w:pPr>
            <w:r>
              <w:rPr>
                <w:rFonts w:ascii="Arial" w:cs="Arial" w:eastAsia="Arial" w:hAnsi="Arial"/>
                <w:sz w:val="18"/>
                <w:szCs w:val="18"/>
                <w:b w:val="1"/>
                <w:bCs w:val="1"/>
                <w:color w:val="05445E"/>
                <w:w w:val="99"/>
                <w:vertAlign w:val="subscript"/>
              </w:rPr>
              <w:t>($)</w:t>
            </w:r>
            <w:r>
              <w:rPr>
                <w:rFonts w:ascii="Arial" w:cs="Arial" w:eastAsia="Arial" w:hAnsi="Arial"/>
                <w:sz w:val="6"/>
                <w:szCs w:val="6"/>
                <w:b w:val="1"/>
                <w:bCs w:val="1"/>
                <w:color w:val="05445E"/>
                <w:w w:val="99"/>
              </w:rPr>
              <w:t>(a)</w:t>
            </w:r>
          </w:p>
        </w:tc>
        <w:tc>
          <w:tcPr>
            <w:tcW w:w="80" w:type="dxa"/>
            <w:vAlign w:val="bottom"/>
            <w:tcBorders>
              <w:bottom w:val="single" w:sz="8" w:color="D9D9D9"/>
            </w:tcBorders>
          </w:tcPr>
          <w:p>
            <w:pPr>
              <w:spacing w:after="0"/>
              <w:rPr>
                <w:sz w:val="14"/>
                <w:szCs w:val="14"/>
                <w:color w:val="auto"/>
              </w:rPr>
            </w:pPr>
          </w:p>
        </w:tc>
        <w:tc>
          <w:tcPr>
            <w:tcW w:w="1640" w:type="dxa"/>
            <w:vAlign w:val="bottom"/>
            <w:tcBorders>
              <w:bottom w:val="single" w:sz="8" w:color="929292"/>
            </w:tcBorders>
          </w:tcPr>
          <w:p>
            <w:pPr>
              <w:jc w:val="center"/>
              <w:spacing w:after="0"/>
              <w:rPr>
                <w:sz w:val="20"/>
                <w:szCs w:val="20"/>
                <w:color w:val="auto"/>
              </w:rPr>
            </w:pPr>
            <w:r>
              <w:rPr>
                <w:rFonts w:ascii="Arial" w:cs="Arial" w:eastAsia="Arial" w:hAnsi="Arial"/>
                <w:sz w:val="11"/>
                <w:szCs w:val="11"/>
                <w:b w:val="1"/>
                <w:bCs w:val="1"/>
                <w:color w:val="05445E"/>
                <w:w w:val="88"/>
              </w:rPr>
              <w:t>($)</w:t>
            </w:r>
            <w:r>
              <w:rPr>
                <w:rFonts w:ascii="Arial" w:cs="Arial" w:eastAsia="Arial" w:hAnsi="Arial"/>
                <w:sz w:val="14"/>
                <w:szCs w:val="14"/>
                <w:b w:val="1"/>
                <w:bCs w:val="1"/>
                <w:color w:val="05445E"/>
                <w:w w:val="88"/>
                <w:vertAlign w:val="superscript"/>
              </w:rPr>
              <w:t>(a)</w:t>
            </w:r>
          </w:p>
        </w:tc>
        <w:tc>
          <w:tcPr>
            <w:tcW w:w="80" w:type="dxa"/>
            <w:vAlign w:val="bottom"/>
            <w:tcBorders>
              <w:bottom w:val="single" w:sz="8" w:color="D9D9D9"/>
            </w:tcBorders>
          </w:tcPr>
          <w:p>
            <w:pPr>
              <w:spacing w:after="0"/>
              <w:rPr>
                <w:sz w:val="14"/>
                <w:szCs w:val="14"/>
                <w:color w:val="auto"/>
              </w:rPr>
            </w:pPr>
          </w:p>
        </w:tc>
        <w:tc>
          <w:tcPr>
            <w:tcW w:w="1440" w:type="dxa"/>
            <w:vAlign w:val="bottom"/>
            <w:tcBorders>
              <w:bottom w:val="single" w:sz="8" w:color="929292"/>
            </w:tcBorders>
          </w:tcPr>
          <w:p>
            <w:pPr>
              <w:jc w:val="center"/>
              <w:spacing w:after="0"/>
              <w:rPr>
                <w:sz w:val="20"/>
                <w:szCs w:val="20"/>
                <w:color w:val="auto"/>
              </w:rPr>
            </w:pPr>
            <w:r>
              <w:rPr>
                <w:rFonts w:ascii="Arial" w:cs="Arial" w:eastAsia="Arial" w:hAnsi="Arial"/>
                <w:sz w:val="11"/>
                <w:szCs w:val="11"/>
                <w:b w:val="1"/>
                <w:bCs w:val="1"/>
                <w:color w:val="05445E"/>
                <w:w w:val="86"/>
              </w:rPr>
              <w:t>($)</w:t>
            </w:r>
            <w:r>
              <w:rPr>
                <w:rFonts w:ascii="Arial" w:cs="Arial" w:eastAsia="Arial" w:hAnsi="Arial"/>
                <w:sz w:val="14"/>
                <w:szCs w:val="14"/>
                <w:b w:val="1"/>
                <w:bCs w:val="1"/>
                <w:color w:val="05445E"/>
                <w:w w:val="86"/>
                <w:vertAlign w:val="superscript"/>
              </w:rPr>
              <w:t>(b)</w:t>
            </w:r>
          </w:p>
        </w:tc>
        <w:tc>
          <w:tcPr>
            <w:tcW w:w="80" w:type="dxa"/>
            <w:vAlign w:val="bottom"/>
            <w:tcBorders>
              <w:bottom w:val="single" w:sz="8" w:color="D9D9D9"/>
            </w:tcBorders>
          </w:tcPr>
          <w:p>
            <w:pPr>
              <w:spacing w:after="0"/>
              <w:rPr>
                <w:sz w:val="14"/>
                <w:szCs w:val="14"/>
                <w:color w:val="auto"/>
              </w:rPr>
            </w:pPr>
          </w:p>
        </w:tc>
        <w:tc>
          <w:tcPr>
            <w:tcW w:w="1440" w:type="dxa"/>
            <w:vAlign w:val="bottom"/>
            <w:tcBorders>
              <w:bottom w:val="single" w:sz="8" w:color="929292"/>
            </w:tcBorders>
          </w:tcPr>
          <w:p>
            <w:pPr>
              <w:jc w:val="center"/>
              <w:spacing w:after="0"/>
              <w:rPr>
                <w:sz w:val="20"/>
                <w:szCs w:val="20"/>
                <w:color w:val="auto"/>
              </w:rPr>
            </w:pPr>
            <w:r>
              <w:rPr>
                <w:rFonts w:ascii="Arial" w:cs="Arial" w:eastAsia="Arial" w:hAnsi="Arial"/>
                <w:sz w:val="11"/>
                <w:szCs w:val="11"/>
                <w:b w:val="1"/>
                <w:bCs w:val="1"/>
                <w:color w:val="05445E"/>
                <w:w w:val="88"/>
              </w:rPr>
              <w:t>($)</w:t>
            </w:r>
            <w:r>
              <w:rPr>
                <w:rFonts w:ascii="Arial" w:cs="Arial" w:eastAsia="Arial" w:hAnsi="Arial"/>
                <w:sz w:val="14"/>
                <w:szCs w:val="14"/>
                <w:b w:val="1"/>
                <w:bCs w:val="1"/>
                <w:color w:val="05445E"/>
                <w:w w:val="88"/>
                <w:vertAlign w:val="superscript"/>
              </w:rPr>
              <w:t>(c)</w:t>
            </w:r>
          </w:p>
        </w:tc>
        <w:tc>
          <w:tcPr>
            <w:tcW w:w="80" w:type="dxa"/>
            <w:vAlign w:val="bottom"/>
            <w:tcBorders>
              <w:bottom w:val="single" w:sz="8" w:color="D9D9D9"/>
            </w:tcBorders>
          </w:tcPr>
          <w:p>
            <w:pPr>
              <w:spacing w:after="0"/>
              <w:rPr>
                <w:sz w:val="14"/>
                <w:szCs w:val="14"/>
                <w:color w:val="auto"/>
              </w:rPr>
            </w:pPr>
          </w:p>
        </w:tc>
        <w:tc>
          <w:tcPr>
            <w:tcW w:w="1660" w:type="dxa"/>
            <w:vAlign w:val="bottom"/>
            <w:tcBorders>
              <w:bottom w:val="single" w:sz="8" w:color="929292"/>
            </w:tcBorders>
          </w:tcPr>
          <w:p>
            <w:pPr>
              <w:jc w:val="center"/>
              <w:spacing w:after="0"/>
              <w:rPr>
                <w:sz w:val="20"/>
                <w:szCs w:val="20"/>
                <w:color w:val="auto"/>
              </w:rPr>
            </w:pPr>
            <w:r>
              <w:rPr>
                <w:rFonts w:ascii="Arial" w:cs="Arial" w:eastAsia="Arial" w:hAnsi="Arial"/>
                <w:sz w:val="11"/>
                <w:szCs w:val="11"/>
                <w:b w:val="1"/>
                <w:bCs w:val="1"/>
                <w:color w:val="05445E"/>
              </w:rPr>
              <w:t>($)</w:t>
            </w:r>
          </w:p>
        </w:tc>
      </w:tr>
      <w:tr>
        <w:trPr>
          <w:trHeight w:val="169"/>
        </w:trPr>
        <w:tc>
          <w:tcPr>
            <w:tcW w:w="2180" w:type="dxa"/>
            <w:vAlign w:val="bottom"/>
            <w:gridSpan w:val="2"/>
            <w:shd w:val="clear" w:color="auto" w:fill="D9D9D9"/>
          </w:tcPr>
          <w:p>
            <w:pPr>
              <w:ind w:left="80"/>
              <w:spacing w:after="0"/>
              <w:rPr>
                <w:sz w:val="20"/>
                <w:szCs w:val="20"/>
                <w:color w:val="auto"/>
              </w:rPr>
            </w:pPr>
            <w:r>
              <w:rPr>
                <w:rFonts w:ascii="Arial" w:cs="Arial" w:eastAsia="Arial" w:hAnsi="Arial"/>
                <w:sz w:val="12"/>
                <w:szCs w:val="12"/>
                <w:color w:val="auto"/>
              </w:rPr>
              <w:t>Donald A. Nolan</w:t>
            </w:r>
          </w:p>
        </w:tc>
        <w:tc>
          <w:tcPr>
            <w:tcW w:w="1700" w:type="dxa"/>
            <w:vAlign w:val="bottom"/>
            <w:shd w:val="clear" w:color="auto" w:fill="DBDBDB"/>
          </w:tcPr>
          <w:p>
            <w:pPr>
              <w:jc w:val="right"/>
              <w:ind w:right="1004"/>
              <w:spacing w:after="0"/>
              <w:rPr>
                <w:sz w:val="20"/>
                <w:szCs w:val="20"/>
                <w:color w:val="auto"/>
              </w:rPr>
            </w:pPr>
            <w:r>
              <w:rPr>
                <w:rFonts w:ascii="Arial" w:cs="Arial" w:eastAsia="Arial" w:hAnsi="Arial"/>
                <w:sz w:val="12"/>
                <w:szCs w:val="12"/>
                <w:color w:val="auto"/>
              </w:rPr>
              <w:t>7,969</w:t>
            </w:r>
          </w:p>
        </w:tc>
        <w:tc>
          <w:tcPr>
            <w:tcW w:w="80" w:type="dxa"/>
            <w:vAlign w:val="bottom"/>
            <w:shd w:val="clear" w:color="auto" w:fill="D9D9D9"/>
          </w:tcPr>
          <w:p>
            <w:pPr>
              <w:spacing w:after="0"/>
              <w:rPr>
                <w:sz w:val="14"/>
                <w:szCs w:val="14"/>
                <w:color w:val="auto"/>
              </w:rPr>
            </w:pPr>
          </w:p>
        </w:tc>
        <w:tc>
          <w:tcPr>
            <w:tcW w:w="17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440" w:type="dxa"/>
            <w:vAlign w:val="bottom"/>
            <w:shd w:val="clear" w:color="auto" w:fill="D9D9D9"/>
          </w:tcPr>
          <w:p>
            <w:pPr>
              <w:jc w:val="center"/>
              <w:spacing w:after="0"/>
              <w:rPr>
                <w:sz w:val="20"/>
                <w:szCs w:val="20"/>
                <w:color w:val="auto"/>
              </w:rPr>
            </w:pPr>
            <w:r>
              <w:rPr>
                <w:rFonts w:ascii="Arial" w:cs="Arial" w:eastAsia="Arial" w:hAnsi="Arial"/>
                <w:sz w:val="12"/>
                <w:szCs w:val="12"/>
                <w:color w:val="auto"/>
              </w:rPr>
              <w:t>100,000</w:t>
            </w:r>
          </w:p>
        </w:tc>
        <w:tc>
          <w:tcPr>
            <w:tcW w:w="80" w:type="dxa"/>
            <w:vAlign w:val="bottom"/>
            <w:shd w:val="clear" w:color="auto" w:fill="D9D9D9"/>
          </w:tcPr>
          <w:p>
            <w:pPr>
              <w:spacing w:after="0"/>
              <w:rPr>
                <w:sz w:val="14"/>
                <w:szCs w:val="14"/>
                <w:color w:val="auto"/>
              </w:rPr>
            </w:pPr>
          </w:p>
        </w:tc>
        <w:tc>
          <w:tcPr>
            <w:tcW w:w="15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660" w:type="dxa"/>
            <w:vAlign w:val="bottom"/>
            <w:shd w:val="clear" w:color="auto" w:fill="DBDBDB"/>
          </w:tcPr>
          <w:p>
            <w:pPr>
              <w:jc w:val="right"/>
              <w:ind w:right="942"/>
              <w:spacing w:after="0"/>
              <w:rPr>
                <w:sz w:val="20"/>
                <w:szCs w:val="20"/>
                <w:color w:val="auto"/>
              </w:rPr>
            </w:pPr>
            <w:r>
              <w:rPr>
                <w:rFonts w:ascii="Arial" w:cs="Arial" w:eastAsia="Arial" w:hAnsi="Arial"/>
                <w:sz w:val="12"/>
                <w:szCs w:val="12"/>
                <w:color w:val="auto"/>
              </w:rPr>
              <w:t>107,969</w:t>
            </w:r>
          </w:p>
        </w:tc>
      </w:tr>
      <w:tr>
        <w:trPr>
          <w:trHeight w:val="172"/>
        </w:trPr>
        <w:tc>
          <w:tcPr>
            <w:tcW w:w="2180" w:type="dxa"/>
            <w:vAlign w:val="bottom"/>
            <w:gridSpan w:val="2"/>
          </w:tcPr>
          <w:p>
            <w:pPr>
              <w:ind w:left="60"/>
              <w:spacing w:after="0"/>
              <w:rPr>
                <w:sz w:val="20"/>
                <w:szCs w:val="20"/>
                <w:color w:val="auto"/>
              </w:rPr>
            </w:pPr>
            <w:r>
              <w:rPr>
                <w:rFonts w:ascii="Arial" w:cs="Arial" w:eastAsia="Arial" w:hAnsi="Arial"/>
                <w:sz w:val="12"/>
                <w:szCs w:val="12"/>
                <w:color w:val="auto"/>
              </w:rPr>
              <w:t>Mark R. Augdahl</w:t>
            </w:r>
          </w:p>
        </w:tc>
        <w:tc>
          <w:tcPr>
            <w:tcW w:w="1700" w:type="dxa"/>
            <w:vAlign w:val="bottom"/>
          </w:tcPr>
          <w:p>
            <w:pPr>
              <w:jc w:val="center"/>
              <w:spacing w:after="0"/>
              <w:rPr>
                <w:sz w:val="20"/>
                <w:szCs w:val="20"/>
                <w:color w:val="auto"/>
              </w:rPr>
            </w:pPr>
            <w:r>
              <w:rPr>
                <w:rFonts w:ascii="Arial" w:cs="Arial" w:eastAsia="Arial" w:hAnsi="Arial"/>
                <w:sz w:val="12"/>
                <w:szCs w:val="12"/>
                <w:color w:val="auto"/>
                <w:w w:val="97"/>
              </w:rPr>
              <w:t>16,978</w:t>
            </w:r>
          </w:p>
        </w:tc>
        <w:tc>
          <w:tcPr>
            <w:tcW w:w="80" w:type="dxa"/>
            <w:vAlign w:val="bottom"/>
          </w:tcPr>
          <w:p>
            <w:pPr>
              <w:spacing w:after="0"/>
              <w:rPr>
                <w:sz w:val="14"/>
                <w:szCs w:val="14"/>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660" w:type="dxa"/>
            <w:vAlign w:val="bottom"/>
          </w:tcPr>
          <w:p>
            <w:pPr>
              <w:jc w:val="right"/>
              <w:ind w:right="942"/>
              <w:spacing w:after="0"/>
              <w:rPr>
                <w:sz w:val="20"/>
                <w:szCs w:val="20"/>
                <w:color w:val="auto"/>
              </w:rPr>
            </w:pPr>
            <w:r>
              <w:rPr>
                <w:rFonts w:ascii="Arial" w:cs="Arial" w:eastAsia="Arial" w:hAnsi="Arial"/>
                <w:sz w:val="12"/>
                <w:szCs w:val="12"/>
                <w:color w:val="auto"/>
              </w:rPr>
              <w:t>16,978</w:t>
            </w:r>
          </w:p>
        </w:tc>
      </w:tr>
      <w:tr>
        <w:trPr>
          <w:trHeight w:val="188"/>
        </w:trPr>
        <w:tc>
          <w:tcPr>
            <w:tcW w:w="2180" w:type="dxa"/>
            <w:vAlign w:val="bottom"/>
            <w:gridSpan w:val="2"/>
            <w:shd w:val="clear" w:color="auto" w:fill="DBDBDB"/>
          </w:tcPr>
          <w:p>
            <w:pPr>
              <w:ind w:left="60"/>
              <w:spacing w:after="0"/>
              <w:rPr>
                <w:sz w:val="20"/>
                <w:szCs w:val="20"/>
                <w:color w:val="auto"/>
              </w:rPr>
            </w:pPr>
            <w:r>
              <w:rPr>
                <w:rFonts w:ascii="Arial" w:cs="Arial" w:eastAsia="Arial" w:hAnsi="Arial"/>
                <w:sz w:val="12"/>
                <w:szCs w:val="12"/>
                <w:color w:val="auto"/>
              </w:rPr>
              <w:t>Troy R. Johnson</w:t>
            </w:r>
          </w:p>
        </w:tc>
        <w:tc>
          <w:tcPr>
            <w:tcW w:w="17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7"/>
              </w:rPr>
              <w:t>14,593</w:t>
            </w:r>
          </w:p>
        </w:tc>
        <w:tc>
          <w:tcPr>
            <w:tcW w:w="80" w:type="dxa"/>
            <w:vAlign w:val="bottom"/>
            <w:shd w:val="clear" w:color="auto" w:fill="DBDBDB"/>
          </w:tcPr>
          <w:p>
            <w:pPr>
              <w:spacing w:after="0"/>
              <w:rPr>
                <w:sz w:val="16"/>
                <w:szCs w:val="16"/>
                <w:color w:val="auto"/>
              </w:rPr>
            </w:pPr>
          </w:p>
        </w:tc>
        <w:tc>
          <w:tcPr>
            <w:tcW w:w="172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44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DBDBDB"/>
          </w:tcPr>
          <w:p>
            <w:pPr>
              <w:spacing w:after="0"/>
              <w:rPr>
                <w:sz w:val="16"/>
                <w:szCs w:val="16"/>
                <w:color w:val="auto"/>
              </w:rPr>
            </w:pPr>
          </w:p>
        </w:tc>
        <w:tc>
          <w:tcPr>
            <w:tcW w:w="1660" w:type="dxa"/>
            <w:vAlign w:val="bottom"/>
            <w:shd w:val="clear" w:color="auto" w:fill="DBDBDB"/>
          </w:tcPr>
          <w:p>
            <w:pPr>
              <w:jc w:val="right"/>
              <w:ind w:right="942"/>
              <w:spacing w:after="0"/>
              <w:rPr>
                <w:sz w:val="20"/>
                <w:szCs w:val="20"/>
                <w:color w:val="auto"/>
              </w:rPr>
            </w:pPr>
            <w:r>
              <w:rPr>
                <w:rFonts w:ascii="Arial" w:cs="Arial" w:eastAsia="Arial" w:hAnsi="Arial"/>
                <w:sz w:val="12"/>
                <w:szCs w:val="12"/>
                <w:color w:val="auto"/>
              </w:rPr>
              <w:t>14,593</w:t>
            </w:r>
          </w:p>
        </w:tc>
      </w:tr>
      <w:tr>
        <w:trPr>
          <w:trHeight w:val="172"/>
        </w:trPr>
        <w:tc>
          <w:tcPr>
            <w:tcW w:w="2180" w:type="dxa"/>
            <w:vAlign w:val="bottom"/>
            <w:gridSpan w:val="2"/>
          </w:tcPr>
          <w:p>
            <w:pPr>
              <w:ind w:left="60"/>
              <w:spacing w:after="0"/>
              <w:rPr>
                <w:sz w:val="20"/>
                <w:szCs w:val="20"/>
                <w:color w:val="auto"/>
              </w:rPr>
            </w:pPr>
            <w:r>
              <w:rPr>
                <w:rFonts w:ascii="Arial" w:cs="Arial" w:eastAsia="Arial" w:hAnsi="Arial"/>
                <w:sz w:val="12"/>
                <w:szCs w:val="12"/>
                <w:color w:val="auto"/>
              </w:rPr>
              <w:t>Veena M. Lakkundi</w:t>
            </w:r>
          </w:p>
        </w:tc>
        <w:tc>
          <w:tcPr>
            <w:tcW w:w="1700" w:type="dxa"/>
            <w:vAlign w:val="bottom"/>
          </w:tcPr>
          <w:p>
            <w:pPr>
              <w:jc w:val="center"/>
              <w:spacing w:after="0"/>
              <w:rPr>
                <w:sz w:val="20"/>
                <w:szCs w:val="20"/>
                <w:color w:val="auto"/>
              </w:rPr>
            </w:pPr>
            <w:r>
              <w:rPr>
                <w:rFonts w:ascii="Arial" w:cs="Arial" w:eastAsia="Arial" w:hAnsi="Arial"/>
                <w:sz w:val="12"/>
                <w:szCs w:val="12"/>
                <w:color w:val="auto"/>
                <w:w w:val="97"/>
              </w:rPr>
              <w:t>13,739</w:t>
            </w:r>
          </w:p>
        </w:tc>
        <w:tc>
          <w:tcPr>
            <w:tcW w:w="1720" w:type="dxa"/>
            <w:vAlign w:val="bottom"/>
            <w:gridSpan w:val="2"/>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660" w:type="dxa"/>
            <w:vAlign w:val="bottom"/>
          </w:tcPr>
          <w:p>
            <w:pPr>
              <w:jc w:val="right"/>
              <w:ind w:right="942"/>
              <w:spacing w:after="0"/>
              <w:rPr>
                <w:sz w:val="20"/>
                <w:szCs w:val="20"/>
                <w:color w:val="auto"/>
              </w:rPr>
            </w:pPr>
            <w:r>
              <w:rPr>
                <w:rFonts w:ascii="Arial" w:cs="Arial" w:eastAsia="Arial" w:hAnsi="Arial"/>
                <w:sz w:val="12"/>
                <w:szCs w:val="12"/>
                <w:color w:val="auto"/>
              </w:rPr>
              <w:t>13,740</w:t>
            </w:r>
          </w:p>
        </w:tc>
      </w:tr>
      <w:tr>
        <w:trPr>
          <w:trHeight w:val="188"/>
        </w:trPr>
        <w:tc>
          <w:tcPr>
            <w:tcW w:w="2180" w:type="dxa"/>
            <w:vAlign w:val="bottom"/>
            <w:gridSpan w:val="2"/>
            <w:shd w:val="clear" w:color="auto" w:fill="DBDBDB"/>
          </w:tcPr>
          <w:p>
            <w:pPr>
              <w:ind w:left="60"/>
              <w:spacing w:after="0"/>
              <w:rPr>
                <w:sz w:val="20"/>
                <w:szCs w:val="20"/>
                <w:color w:val="auto"/>
              </w:rPr>
            </w:pPr>
            <w:r>
              <w:rPr>
                <w:rFonts w:ascii="Arial" w:cs="Arial" w:eastAsia="Arial" w:hAnsi="Arial"/>
                <w:sz w:val="12"/>
                <w:szCs w:val="12"/>
                <w:color w:val="auto"/>
              </w:rPr>
              <w:t>Brent C. Jewell</w:t>
            </w:r>
          </w:p>
        </w:tc>
        <w:tc>
          <w:tcPr>
            <w:tcW w:w="17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7"/>
              </w:rPr>
              <w:t>14,062</w:t>
            </w:r>
          </w:p>
        </w:tc>
        <w:tc>
          <w:tcPr>
            <w:tcW w:w="80" w:type="dxa"/>
            <w:vAlign w:val="bottom"/>
            <w:shd w:val="clear" w:color="auto" w:fill="DBDBDB"/>
          </w:tcPr>
          <w:p>
            <w:pPr>
              <w:spacing w:after="0"/>
              <w:rPr>
                <w:sz w:val="16"/>
                <w:szCs w:val="16"/>
                <w:color w:val="auto"/>
              </w:rPr>
            </w:pPr>
          </w:p>
        </w:tc>
        <w:tc>
          <w:tcPr>
            <w:tcW w:w="172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44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DBDBDB"/>
          </w:tcPr>
          <w:p>
            <w:pPr>
              <w:spacing w:after="0"/>
              <w:rPr>
                <w:sz w:val="16"/>
                <w:szCs w:val="16"/>
                <w:color w:val="auto"/>
              </w:rPr>
            </w:pPr>
          </w:p>
        </w:tc>
        <w:tc>
          <w:tcPr>
            <w:tcW w:w="1660" w:type="dxa"/>
            <w:vAlign w:val="bottom"/>
            <w:shd w:val="clear" w:color="auto" w:fill="DBDBDB"/>
          </w:tcPr>
          <w:p>
            <w:pPr>
              <w:jc w:val="right"/>
              <w:ind w:right="942"/>
              <w:spacing w:after="0"/>
              <w:rPr>
                <w:sz w:val="20"/>
                <w:szCs w:val="20"/>
                <w:color w:val="auto"/>
              </w:rPr>
            </w:pPr>
            <w:r>
              <w:rPr>
                <w:rFonts w:ascii="Arial" w:cs="Arial" w:eastAsia="Arial" w:hAnsi="Arial"/>
                <w:sz w:val="12"/>
                <w:szCs w:val="12"/>
                <w:color w:val="auto"/>
              </w:rPr>
              <w:t>14,062</w:t>
            </w:r>
          </w:p>
        </w:tc>
      </w:tr>
      <w:tr>
        <w:trPr>
          <w:trHeight w:val="172"/>
        </w:trPr>
        <w:tc>
          <w:tcPr>
            <w:tcW w:w="2180" w:type="dxa"/>
            <w:vAlign w:val="bottom"/>
            <w:gridSpan w:val="2"/>
          </w:tcPr>
          <w:p>
            <w:pPr>
              <w:ind w:left="60"/>
              <w:spacing w:after="0"/>
              <w:rPr>
                <w:sz w:val="20"/>
                <w:szCs w:val="20"/>
                <w:color w:val="auto"/>
              </w:rPr>
            </w:pPr>
            <w:r>
              <w:rPr>
                <w:rFonts w:ascii="Arial" w:cs="Arial" w:eastAsia="Arial" w:hAnsi="Arial"/>
                <w:sz w:val="12"/>
                <w:szCs w:val="12"/>
                <w:color w:val="auto"/>
              </w:rPr>
              <w:t>Ty R. Silberhorn</w:t>
            </w:r>
          </w:p>
        </w:tc>
        <w:tc>
          <w:tcPr>
            <w:tcW w:w="1700" w:type="dxa"/>
            <w:vAlign w:val="bottom"/>
          </w:tcPr>
          <w:p>
            <w:pPr>
              <w:jc w:val="right"/>
              <w:ind w:right="1004"/>
              <w:spacing w:after="0"/>
              <w:rPr>
                <w:sz w:val="20"/>
                <w:szCs w:val="20"/>
                <w:color w:val="auto"/>
              </w:rPr>
            </w:pPr>
            <w:r>
              <w:rPr>
                <w:rFonts w:ascii="Arial" w:cs="Arial" w:eastAsia="Arial" w:hAnsi="Arial"/>
                <w:sz w:val="12"/>
                <w:szCs w:val="12"/>
                <w:color w:val="auto"/>
              </w:rPr>
              <w:t>9,519</w:t>
            </w:r>
          </w:p>
        </w:tc>
        <w:tc>
          <w:tcPr>
            <w:tcW w:w="1720" w:type="dxa"/>
            <w:vAlign w:val="bottom"/>
            <w:gridSpan w:val="2"/>
          </w:tcPr>
          <w:p>
            <w:pPr>
              <w:jc w:val="right"/>
              <w:ind w:right="1063"/>
              <w:spacing w:after="0"/>
              <w:rPr>
                <w:sz w:val="20"/>
                <w:szCs w:val="20"/>
                <w:color w:val="auto"/>
              </w:rPr>
            </w:pPr>
            <w:r>
              <w:rPr>
                <w:rFonts w:ascii="Arial" w:cs="Arial" w:eastAsia="Arial" w:hAnsi="Arial"/>
                <w:sz w:val="12"/>
                <w:szCs w:val="12"/>
                <w:color w:val="auto"/>
              </w:rPr>
              <w:t>2,423</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1,944,117</w:t>
            </w:r>
          </w:p>
        </w:tc>
        <w:tc>
          <w:tcPr>
            <w:tcW w:w="80" w:type="dxa"/>
            <w:vAlign w:val="bottom"/>
          </w:tcPr>
          <w:p>
            <w:pPr>
              <w:spacing w:after="0"/>
              <w:rPr>
                <w:sz w:val="14"/>
                <w:szCs w:val="14"/>
                <w:color w:val="auto"/>
              </w:rPr>
            </w:pPr>
          </w:p>
        </w:tc>
        <w:tc>
          <w:tcPr>
            <w:tcW w:w="1660" w:type="dxa"/>
            <w:vAlign w:val="bottom"/>
          </w:tcPr>
          <w:p>
            <w:pPr>
              <w:jc w:val="right"/>
              <w:ind w:right="982"/>
              <w:spacing w:after="0"/>
              <w:rPr>
                <w:sz w:val="20"/>
                <w:szCs w:val="20"/>
                <w:color w:val="auto"/>
              </w:rPr>
            </w:pPr>
            <w:r>
              <w:rPr>
                <w:rFonts w:ascii="Arial" w:cs="Arial" w:eastAsia="Arial" w:hAnsi="Arial"/>
                <w:sz w:val="12"/>
                <w:szCs w:val="12"/>
                <w:color w:val="auto"/>
              </w:rPr>
              <w:t>1,956,059</w:t>
            </w:r>
          </w:p>
        </w:tc>
      </w:tr>
      <w:tr>
        <w:trPr>
          <w:trHeight w:val="188"/>
        </w:trPr>
        <w:tc>
          <w:tcPr>
            <w:tcW w:w="2180" w:type="dxa"/>
            <w:vAlign w:val="bottom"/>
            <w:gridSpan w:val="2"/>
            <w:shd w:val="clear" w:color="auto" w:fill="D9D9D9"/>
          </w:tcPr>
          <w:p>
            <w:pPr>
              <w:ind w:left="60"/>
              <w:spacing w:after="0"/>
              <w:rPr>
                <w:sz w:val="20"/>
                <w:szCs w:val="20"/>
                <w:color w:val="auto"/>
              </w:rPr>
            </w:pPr>
            <w:r>
              <w:rPr>
                <w:rFonts w:ascii="Arial" w:cs="Arial" w:eastAsia="Arial" w:hAnsi="Arial"/>
                <w:sz w:val="12"/>
                <w:szCs w:val="12"/>
                <w:color w:val="auto"/>
              </w:rPr>
              <w:t>Matthew J. Osberg</w:t>
            </w:r>
          </w:p>
        </w:tc>
        <w:tc>
          <w:tcPr>
            <w:tcW w:w="17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7"/>
              </w:rPr>
              <w:t>11,720</w:t>
            </w:r>
          </w:p>
        </w:tc>
        <w:tc>
          <w:tcPr>
            <w:tcW w:w="80" w:type="dxa"/>
            <w:vAlign w:val="bottom"/>
            <w:shd w:val="clear" w:color="auto" w:fill="D9D9D9"/>
          </w:tcPr>
          <w:p>
            <w:pPr>
              <w:spacing w:after="0"/>
              <w:rPr>
                <w:sz w:val="16"/>
                <w:szCs w:val="16"/>
                <w:color w:val="auto"/>
              </w:rPr>
            </w:pPr>
          </w:p>
        </w:tc>
        <w:tc>
          <w:tcPr>
            <w:tcW w:w="17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520" w:type="dxa"/>
            <w:vAlign w:val="bottom"/>
            <w:gridSpan w:val="2"/>
            <w:shd w:val="clear" w:color="auto" w:fill="D9D9D9"/>
          </w:tcPr>
          <w:p>
            <w:pPr>
              <w:jc w:val="center"/>
              <w:ind w:right="80"/>
              <w:spacing w:after="0"/>
              <w:rPr>
                <w:sz w:val="20"/>
                <w:szCs w:val="20"/>
                <w:color w:val="auto"/>
              </w:rPr>
            </w:pPr>
            <w:r>
              <w:rPr>
                <w:rFonts w:ascii="Arial" w:cs="Arial" w:eastAsia="Arial" w:hAnsi="Arial"/>
                <w:sz w:val="12"/>
                <w:szCs w:val="12"/>
                <w:color w:val="auto"/>
                <w:w w:val="99"/>
              </w:rPr>
              <w:t>—</w:t>
            </w:r>
          </w:p>
        </w:tc>
        <w:tc>
          <w:tcPr>
            <w:tcW w:w="1660" w:type="dxa"/>
            <w:vAlign w:val="bottom"/>
            <w:shd w:val="clear" w:color="auto" w:fill="D9D9D9"/>
          </w:tcPr>
          <w:p>
            <w:pPr>
              <w:jc w:val="right"/>
              <w:ind w:right="882"/>
              <w:spacing w:after="0"/>
              <w:rPr>
                <w:sz w:val="20"/>
                <w:szCs w:val="20"/>
                <w:color w:val="auto"/>
              </w:rPr>
            </w:pPr>
            <w:r>
              <w:rPr>
                <w:rFonts w:ascii="Arial" w:cs="Arial" w:eastAsia="Arial" w:hAnsi="Arial"/>
                <w:sz w:val="12"/>
                <w:szCs w:val="12"/>
                <w:color w:val="auto"/>
              </w:rPr>
              <w:t>11,720</w:t>
            </w:r>
          </w:p>
        </w:tc>
      </w:tr>
    </w:tbl>
    <w:p>
      <w:pPr>
        <w:spacing w:after="0" w:line="55" w:lineRule="exact"/>
        <w:rPr>
          <w:sz w:val="20"/>
          <w:szCs w:val="20"/>
          <w:color w:val="auto"/>
        </w:rPr>
      </w:pPr>
    </w:p>
    <w:p>
      <w:pPr>
        <w:ind w:left="32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708" w:right="20" w:hanging="330"/>
        <w:spacing w:after="0" w:line="286" w:lineRule="auto"/>
        <w:tabs>
          <w:tab w:leader="none" w:pos="702" w:val="left"/>
        </w:tabs>
        <w:numPr>
          <w:ilvl w:val="1"/>
          <w:numId w:val="51"/>
        </w:numPr>
        <w:rPr>
          <w:rFonts w:ascii="Arial" w:cs="Arial" w:eastAsia="Arial" w:hAnsi="Arial"/>
          <w:sz w:val="12"/>
          <w:szCs w:val="12"/>
          <w:color w:val="auto"/>
        </w:rPr>
      </w:pPr>
      <w:r>
        <w:rPr>
          <w:rFonts w:ascii="Arial" w:cs="Arial" w:eastAsia="Arial" w:hAnsi="Arial"/>
          <w:sz w:val="12"/>
          <w:szCs w:val="12"/>
          <w:color w:val="auto"/>
        </w:rPr>
        <w:t>Includes the amounts we set aside or accrued during fiscal 2026 under our 401(k) Retirement Plan and Employee Stock Purchase Plan as matching contributions on our Named Executive Officers’ contributions to such plans. Our Named Executive Officers are eligible to participate in our 401(k) Retirement Plan and Employee Stock Purchase Plan on the same basis as all eligible employees.</w:t>
      </w:r>
    </w:p>
    <w:p>
      <w:pPr>
        <w:spacing w:after="0" w:line="31" w:lineRule="exact"/>
        <w:rPr>
          <w:rFonts w:ascii="Arial" w:cs="Arial" w:eastAsia="Arial" w:hAnsi="Arial"/>
          <w:sz w:val="12"/>
          <w:szCs w:val="12"/>
          <w:color w:val="auto"/>
        </w:rPr>
      </w:pPr>
    </w:p>
    <w:p>
      <w:pPr>
        <w:ind w:left="688" w:hanging="310"/>
        <w:spacing w:after="0"/>
        <w:tabs>
          <w:tab w:leader="none" w:pos="688" w:val="left"/>
        </w:tabs>
        <w:numPr>
          <w:ilvl w:val="1"/>
          <w:numId w:val="51"/>
        </w:numPr>
        <w:rPr>
          <w:rFonts w:ascii="Arial" w:cs="Arial" w:eastAsia="Arial" w:hAnsi="Arial"/>
          <w:sz w:val="12"/>
          <w:szCs w:val="12"/>
          <w:color w:val="auto"/>
        </w:rPr>
      </w:pPr>
      <w:r>
        <w:rPr>
          <w:rFonts w:ascii="Arial" w:cs="Arial" w:eastAsia="Arial" w:hAnsi="Arial"/>
          <w:sz w:val="12"/>
          <w:szCs w:val="12"/>
          <w:color w:val="auto"/>
        </w:rPr>
        <w:t xml:space="preserve">Includes the one-time payment of $100,000 for travel and lodging expenses described in the "New Chief Executive Officer Offer Letter" section beginning on page </w:t>
      </w:r>
      <w:r>
        <w:rPr>
          <w:rFonts w:ascii="Arial" w:cs="Arial" w:eastAsia="Arial" w:hAnsi="Arial"/>
          <w:sz w:val="12"/>
          <w:szCs w:val="12"/>
          <w:u w:val="single" w:color="auto"/>
          <w:color w:val="0000FF"/>
        </w:rPr>
        <w:t>5</w:t>
      </w:r>
      <w:r>
        <w:rPr>
          <w:rFonts w:ascii="Arial" w:cs="Arial" w:eastAsia="Arial" w:hAnsi="Arial"/>
          <w:sz w:val="12"/>
          <w:szCs w:val="12"/>
          <w:color w:val="auto"/>
        </w:rPr>
        <w:t>.</w:t>
      </w:r>
    </w:p>
    <w:p>
      <w:pPr>
        <w:spacing w:after="0" w:line="69" w:lineRule="exact"/>
        <w:rPr>
          <w:rFonts w:ascii="Arial" w:cs="Arial" w:eastAsia="Arial" w:hAnsi="Arial"/>
          <w:sz w:val="12"/>
          <w:szCs w:val="12"/>
          <w:color w:val="auto"/>
        </w:rPr>
      </w:pPr>
    </w:p>
    <w:p>
      <w:pPr>
        <w:ind w:left="688" w:hanging="310"/>
        <w:spacing w:after="0"/>
        <w:tabs>
          <w:tab w:leader="none" w:pos="688" w:val="left"/>
        </w:tabs>
        <w:numPr>
          <w:ilvl w:val="1"/>
          <w:numId w:val="51"/>
        </w:numPr>
        <w:rPr>
          <w:rFonts w:ascii="Arial" w:cs="Arial" w:eastAsia="Arial" w:hAnsi="Arial"/>
          <w:sz w:val="12"/>
          <w:szCs w:val="12"/>
          <w:color w:val="auto"/>
        </w:rPr>
      </w:pPr>
      <w:r>
        <w:rPr>
          <w:rFonts w:ascii="Arial" w:cs="Arial" w:eastAsia="Arial" w:hAnsi="Arial"/>
          <w:sz w:val="12"/>
          <w:szCs w:val="12"/>
          <w:color w:val="auto"/>
        </w:rPr>
        <w:t xml:space="preserve">Includes the cash payments described under "Silberhorn Separation Agreement" in the "Potential Payments Upon Termination or Following a Change-in-Control" section beginning on page </w:t>
      </w:r>
      <w:r>
        <w:rPr>
          <w:rFonts w:ascii="Arial" w:cs="Arial" w:eastAsia="Arial" w:hAnsi="Arial"/>
          <w:sz w:val="12"/>
          <w:szCs w:val="12"/>
          <w:u w:val="single" w:color="auto"/>
          <w:color w:val="0000FF"/>
        </w:rPr>
        <w:t>62</w:t>
      </w:r>
      <w:r>
        <w:rPr>
          <w:rFonts w:ascii="Arial" w:cs="Arial" w:eastAsia="Arial" w:hAnsi="Arial"/>
          <w:sz w:val="12"/>
          <w:szCs w:val="12"/>
          <w:color w:val="auto"/>
        </w:rPr>
        <w:t>.</w:t>
      </w:r>
    </w:p>
    <w:p>
      <w:pPr>
        <w:spacing w:after="0" w:line="159" w:lineRule="exact"/>
        <w:rPr>
          <w:rFonts w:ascii="Arial" w:cs="Arial" w:eastAsia="Arial" w:hAnsi="Arial"/>
          <w:sz w:val="12"/>
          <w:szCs w:val="12"/>
          <w:color w:val="auto"/>
        </w:rPr>
      </w:pPr>
    </w:p>
    <w:p>
      <w:pPr>
        <w:ind w:left="308" w:hanging="308"/>
        <w:spacing w:after="0"/>
        <w:tabs>
          <w:tab w:leader="none" w:pos="3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Nolan was appointed Chief Executive Officer of the Company at the close of business on October 31, 2025, during fiscal 2026. Mr. Nolan was not a Named Executive Officer in fiscal 2024 or 2025.</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Augdahl was elected as Executive Vice President, Chief Financial Officer on January 19, 2026, during fiscal 2026. In connection with his promotion, he received a $50,000 bonus. Mr. Augdahl was not a Named Executive Officer in fiscal 2024 or 2025.</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T. Johnson was not a Named Executive Officer in fiscal 2024.</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Ms. Lakkundi was not a Named Executive Officer in fiscal 2024 or 2025.</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w:t>
      </w:r>
    </w:p>
    <w:p>
      <w:pPr>
        <w:spacing w:after="0" w:line="78" w:lineRule="exact"/>
        <w:rPr>
          <w:rFonts w:ascii="Arial" w:cs="Arial" w:eastAsia="Arial" w:hAnsi="Arial"/>
          <w:sz w:val="12"/>
          <w:szCs w:val="12"/>
          <w:color w:val="auto"/>
        </w:rPr>
      </w:pPr>
    </w:p>
    <w:p>
      <w:pPr>
        <w:ind w:left="328" w:hanging="328"/>
        <w:spacing w:after="0"/>
        <w:tabs>
          <w:tab w:leader="none" w:pos="3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Osberg joined during fiscal 2024 and resigned from the Company effective January 16, 2026, during fiscal 2026.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9"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color w:val="05445E"/>
        </w:rPr>
        <w:t>Grants of Plan-Based Awards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following table sets forth information for our Named Executive Officers concerning the following plan-based awards made during fiscal 2026: (i) estimated possible payouts for fiscal 2026 short-term cash incentive awards; (ii) the grant date value of the time-based restricted stock awards; and (iii) estimated possible payouts for the fiscal 2026 – 2028 performance awards.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Fiscal 2026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3"/>
              </w:rPr>
              <w:t>All</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7"/>
              </w:rPr>
              <w:t>Other</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05445E"/>
                <w:w w:val="95"/>
              </w:rPr>
              <w:t>Stock</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6"/>
              </w:rPr>
              <w:t>Awards:</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4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05445E"/>
                <w:w w:val="95"/>
              </w:rPr>
              <w:t>Estimated Future Payouts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5"/>
            <w:vMerge w:val="restart"/>
          </w:tcPr>
          <w:p>
            <w:pPr>
              <w:jc w:val="center"/>
              <w:ind w:right="20"/>
              <w:spacing w:after="0"/>
              <w:rPr>
                <w:sz w:val="20"/>
                <w:szCs w:val="20"/>
                <w:color w:val="auto"/>
              </w:rPr>
            </w:pPr>
            <w:r>
              <w:rPr>
                <w:rFonts w:ascii="Arial" w:cs="Arial" w:eastAsia="Arial" w:hAnsi="Arial"/>
                <w:sz w:val="10"/>
                <w:szCs w:val="10"/>
                <w:b w:val="1"/>
                <w:bCs w:val="1"/>
                <w:color w:val="05445E"/>
                <w:w w:val="95"/>
              </w:rPr>
              <w:t>Estimated Future Payouts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5"/>
              </w:rPr>
              <w:t>Number</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05445E"/>
                <w:w w:val="97"/>
              </w:rPr>
              <w:t>Grant Date</w:t>
            </w: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05445E"/>
                <w:w w:val="84"/>
              </w:rPr>
              <w:t>of</w:t>
            </w:r>
          </w:p>
        </w:tc>
        <w:tc>
          <w:tcPr>
            <w:tcW w:w="1040" w:type="dxa"/>
            <w:vAlign w:val="bottom"/>
            <w:vMerge w:val="restart"/>
          </w:tcPr>
          <w:p>
            <w:pPr>
              <w:jc w:val="center"/>
              <w:spacing w:after="0"/>
              <w:rPr>
                <w:sz w:val="20"/>
                <w:szCs w:val="20"/>
                <w:color w:val="auto"/>
              </w:rPr>
            </w:pPr>
            <w:r>
              <w:rPr>
                <w:rFonts w:ascii="Arial" w:cs="Arial" w:eastAsia="Arial" w:hAnsi="Arial"/>
                <w:sz w:val="10"/>
                <w:szCs w:val="10"/>
                <w:b w:val="1"/>
                <w:bCs w:val="1"/>
                <w:color w:val="05445E"/>
                <w:w w:val="96"/>
              </w:rPr>
              <w:t>Fair Value</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4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05445E"/>
                <w:w w:val="96"/>
              </w:rPr>
              <w:t>Under Non-Equity Incentive Plan</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4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05445E"/>
                <w:w w:val="96"/>
              </w:rPr>
              <w:t>Under Equity Incentive Plan</w:t>
            </w: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05445E"/>
                <w:w w:val="95"/>
              </w:rPr>
              <w:t>Shares</w:t>
            </w:r>
          </w:p>
        </w:tc>
        <w:tc>
          <w:tcPr>
            <w:tcW w:w="1040" w:type="dxa"/>
            <w:vAlign w:val="bottom"/>
            <w:vMerge w:val="restart"/>
          </w:tcPr>
          <w:p>
            <w:pPr>
              <w:jc w:val="center"/>
              <w:spacing w:after="0"/>
              <w:rPr>
                <w:sz w:val="20"/>
                <w:szCs w:val="20"/>
                <w:color w:val="auto"/>
              </w:rPr>
            </w:pPr>
            <w:r>
              <w:rPr>
                <w:rFonts w:ascii="Arial" w:cs="Arial" w:eastAsia="Arial" w:hAnsi="Arial"/>
                <w:sz w:val="10"/>
                <w:szCs w:val="10"/>
                <w:b w:val="1"/>
                <w:bCs w:val="1"/>
                <w:color w:val="05445E"/>
              </w:rPr>
              <w:t>of</w:t>
            </w:r>
          </w:p>
        </w:tc>
        <w:tc>
          <w:tcPr>
            <w:tcW w:w="0" w:type="dxa"/>
            <w:vAlign w:val="bottom"/>
          </w:tcPr>
          <w:p>
            <w:pPr>
              <w:spacing w:after="0"/>
              <w:rPr>
                <w:sz w:val="1"/>
                <w:szCs w:val="1"/>
                <w:color w:val="auto"/>
              </w:rPr>
            </w:pPr>
          </w:p>
        </w:tc>
      </w:tr>
      <w:tr>
        <w:trPr>
          <w:trHeight w:val="98"/>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tcPr>
          <w:p>
            <w:pPr>
              <w:jc w:val="center"/>
              <w:ind w:right="340"/>
              <w:spacing w:after="0" w:line="99" w:lineRule="exact"/>
              <w:rPr>
                <w:sz w:val="20"/>
                <w:szCs w:val="20"/>
                <w:color w:val="auto"/>
              </w:rPr>
            </w:pPr>
            <w:r>
              <w:rPr>
                <w:rFonts w:ascii="Arial" w:cs="Arial" w:eastAsia="Arial" w:hAnsi="Arial"/>
                <w:sz w:val="9"/>
                <w:szCs w:val="9"/>
                <w:b w:val="1"/>
                <w:bCs w:val="1"/>
                <w:color w:val="05445E"/>
              </w:rPr>
              <w:t>Awards</w:t>
            </w:r>
            <w:r>
              <w:rPr>
                <w:rFonts w:ascii="Arial" w:cs="Arial" w:eastAsia="Arial" w:hAnsi="Arial"/>
                <w:sz w:val="11"/>
                <w:szCs w:val="11"/>
                <w:b w:val="1"/>
                <w:bCs w:val="1"/>
                <w:color w:val="05445E"/>
                <w:vertAlign w:val="superscript"/>
              </w:rPr>
              <w:t>(1)</w:t>
            </w: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3"/>
          </w:tcPr>
          <w:p>
            <w:pPr>
              <w:jc w:val="center"/>
              <w:ind w:right="300"/>
              <w:spacing w:after="0" w:line="99" w:lineRule="exact"/>
              <w:rPr>
                <w:sz w:val="20"/>
                <w:szCs w:val="20"/>
                <w:color w:val="auto"/>
              </w:rPr>
            </w:pPr>
            <w:r>
              <w:rPr>
                <w:rFonts w:ascii="Arial" w:cs="Arial" w:eastAsia="Arial" w:hAnsi="Arial"/>
                <w:sz w:val="9"/>
                <w:szCs w:val="9"/>
                <w:b w:val="1"/>
                <w:bCs w:val="1"/>
                <w:color w:val="05445E"/>
              </w:rPr>
              <w:t>Awards</w:t>
            </w:r>
            <w:r>
              <w:rPr>
                <w:rFonts w:ascii="Arial" w:cs="Arial" w:eastAsia="Arial" w:hAnsi="Arial"/>
                <w:sz w:val="11"/>
                <w:szCs w:val="11"/>
                <w:b w:val="1"/>
                <w:bCs w:val="1"/>
                <w:color w:val="05445E"/>
                <w:vertAlign w:val="superscript"/>
              </w:rPr>
              <w:t>(2)</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tcPr>
          <w:p>
            <w:pPr>
              <w:jc w:val="center"/>
              <w:ind w:right="80"/>
              <w:spacing w:after="0" w:line="46" w:lineRule="exact"/>
              <w:rPr>
                <w:sz w:val="20"/>
                <w:szCs w:val="20"/>
                <w:color w:val="auto"/>
              </w:rPr>
            </w:pPr>
            <w:r>
              <w:rPr>
                <w:rFonts w:ascii="Arial" w:cs="Arial" w:eastAsia="Arial" w:hAnsi="Arial"/>
                <w:sz w:val="5"/>
                <w:szCs w:val="5"/>
                <w:b w:val="1"/>
                <w:bCs w:val="1"/>
                <w:color w:val="05445E"/>
              </w:rPr>
              <w:t>of Stock</w:t>
            </w:r>
          </w:p>
        </w:tc>
        <w:tc>
          <w:tcPr>
            <w:tcW w:w="1040" w:type="dxa"/>
            <w:vAlign w:val="bottom"/>
          </w:tcPr>
          <w:p>
            <w:pPr>
              <w:jc w:val="center"/>
              <w:spacing w:after="0" w:line="46" w:lineRule="exact"/>
              <w:rPr>
                <w:sz w:val="20"/>
                <w:szCs w:val="20"/>
                <w:color w:val="auto"/>
              </w:rPr>
            </w:pPr>
            <w:r>
              <w:rPr>
                <w:rFonts w:ascii="Arial" w:cs="Arial" w:eastAsia="Arial" w:hAnsi="Arial"/>
                <w:sz w:val="5"/>
                <w:szCs w:val="5"/>
                <w:b w:val="1"/>
                <w:bCs w:val="1"/>
                <w:color w:val="05445E"/>
              </w:rPr>
              <w:t>Stock</w:t>
            </w:r>
          </w:p>
        </w:tc>
        <w:tc>
          <w:tcPr>
            <w:tcW w:w="0" w:type="dxa"/>
            <w:vAlign w:val="bottom"/>
          </w:tcPr>
          <w:p>
            <w:pPr>
              <w:spacing w:after="0"/>
              <w:rPr>
                <w:sz w:val="1"/>
                <w:szCs w:val="1"/>
                <w:color w:val="auto"/>
              </w:rPr>
            </w:pPr>
          </w:p>
        </w:tc>
      </w:tr>
      <w:tr>
        <w:trPr>
          <w:trHeight w:val="115"/>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05445E"/>
                <w:w w:val="89"/>
              </w:rPr>
              <w:t>Grant</w:t>
            </w:r>
          </w:p>
        </w:tc>
        <w:tc>
          <w:tcPr>
            <w:tcW w:w="80" w:type="dxa"/>
            <w:vAlign w:val="bottom"/>
          </w:tcPr>
          <w:p>
            <w:pPr>
              <w:spacing w:after="0"/>
              <w:rPr>
                <w:sz w:val="10"/>
                <w:szCs w:val="10"/>
                <w:color w:val="auto"/>
              </w:rPr>
            </w:pPr>
          </w:p>
        </w:tc>
        <w:tc>
          <w:tcPr>
            <w:tcW w:w="740" w:type="dxa"/>
            <w:vAlign w:val="bottom"/>
          </w:tcPr>
          <w:p>
            <w:pPr>
              <w:ind w:left="260"/>
              <w:spacing w:after="0"/>
              <w:rPr>
                <w:sz w:val="20"/>
                <w:szCs w:val="20"/>
                <w:color w:val="auto"/>
              </w:rPr>
            </w:pPr>
            <w:r>
              <w:rPr>
                <w:rFonts w:ascii="Arial" w:cs="Arial" w:eastAsia="Arial" w:hAnsi="Arial"/>
                <w:sz w:val="10"/>
                <w:szCs w:val="10"/>
                <w:b w:val="1"/>
                <w:bCs w:val="1"/>
                <w:color w:val="05445E"/>
                <w:w w:val="95"/>
              </w:rPr>
              <w:t>Threshold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ind w:left="300"/>
              <w:spacing w:after="0"/>
              <w:rPr>
                <w:sz w:val="20"/>
                <w:szCs w:val="20"/>
                <w:color w:val="auto"/>
              </w:rPr>
            </w:pPr>
            <w:r>
              <w:rPr>
                <w:rFonts w:ascii="Arial" w:cs="Arial" w:eastAsia="Arial" w:hAnsi="Arial"/>
                <w:sz w:val="10"/>
                <w:szCs w:val="10"/>
                <w:b w:val="1"/>
                <w:bCs w:val="1"/>
                <w:color w:val="05445E"/>
              </w:rPr>
              <w:t>Target</w:t>
            </w: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05445E"/>
              </w:rPr>
              <w:t>Maximum</w:t>
            </w:r>
          </w:p>
        </w:tc>
        <w:tc>
          <w:tcPr>
            <w:tcW w:w="800" w:type="dxa"/>
            <w:vAlign w:val="bottom"/>
          </w:tcPr>
          <w:p>
            <w:pPr>
              <w:ind w:left="260"/>
              <w:spacing w:after="0"/>
              <w:rPr>
                <w:sz w:val="20"/>
                <w:szCs w:val="20"/>
                <w:color w:val="auto"/>
              </w:rPr>
            </w:pPr>
            <w:r>
              <w:rPr>
                <w:rFonts w:ascii="Arial" w:cs="Arial" w:eastAsia="Arial" w:hAnsi="Arial"/>
                <w:sz w:val="10"/>
                <w:szCs w:val="10"/>
                <w:b w:val="1"/>
                <w:bCs w:val="1"/>
                <w:color w:val="05445E"/>
              </w:rPr>
              <w:t>Threshold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05445E"/>
                <w:w w:val="98"/>
              </w:rPr>
              <w:t>Target</w:t>
            </w:r>
          </w:p>
        </w:tc>
        <w:tc>
          <w:tcPr>
            <w:tcW w:w="800" w:type="dxa"/>
            <w:vAlign w:val="bottom"/>
          </w:tcPr>
          <w:p>
            <w:pPr>
              <w:ind w:left="80"/>
              <w:spacing w:after="0"/>
              <w:rPr>
                <w:sz w:val="20"/>
                <w:szCs w:val="20"/>
                <w:color w:val="auto"/>
              </w:rPr>
            </w:pPr>
            <w:r>
              <w:rPr>
                <w:rFonts w:ascii="Arial" w:cs="Arial" w:eastAsia="Arial" w:hAnsi="Arial"/>
                <w:sz w:val="10"/>
                <w:szCs w:val="10"/>
                <w:b w:val="1"/>
                <w:bCs w:val="1"/>
                <w:color w:val="05445E"/>
              </w:rPr>
              <w:t>Maximum</w:t>
            </w:r>
          </w:p>
        </w:tc>
        <w:tc>
          <w:tcPr>
            <w:tcW w:w="8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5"/>
              </w:rPr>
              <w:t>or Units</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05445E"/>
                <w:w w:val="93"/>
              </w:rPr>
              <w:t>Awards</w:t>
            </w:r>
          </w:p>
        </w:tc>
        <w:tc>
          <w:tcPr>
            <w:tcW w:w="0" w:type="dxa"/>
            <w:vAlign w:val="bottom"/>
          </w:tcPr>
          <w:p>
            <w:pPr>
              <w:spacing w:after="0"/>
              <w:rPr>
                <w:sz w:val="1"/>
                <w:szCs w:val="1"/>
                <w:color w:val="auto"/>
              </w:rPr>
            </w:pPr>
          </w:p>
        </w:tc>
      </w:tr>
      <w:tr>
        <w:trPr>
          <w:trHeight w:val="143"/>
        </w:trPr>
        <w:tc>
          <w:tcPr>
            <w:tcW w:w="1780" w:type="dxa"/>
            <w:vAlign w:val="bottom"/>
          </w:tcPr>
          <w:p>
            <w:pPr>
              <w:spacing w:after="0"/>
              <w:rPr>
                <w:sz w:val="20"/>
                <w:szCs w:val="20"/>
                <w:color w:val="auto"/>
              </w:rPr>
            </w:pPr>
            <w:r>
              <w:rPr>
                <w:rFonts w:ascii="Arial" w:cs="Arial" w:eastAsia="Arial" w:hAnsi="Arial"/>
                <w:sz w:val="10"/>
                <w:szCs w:val="10"/>
                <w:b w:val="1"/>
                <w:bCs w:val="1"/>
                <w:color w:val="05445E"/>
              </w:rPr>
              <w:t>Name</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05445E"/>
                <w:w w:val="92"/>
              </w:rPr>
              <w:t>Date</w:t>
            </w:r>
          </w:p>
        </w:tc>
        <w:tc>
          <w:tcPr>
            <w:tcW w:w="820" w:type="dxa"/>
            <w:vAlign w:val="bottom"/>
            <w:gridSpan w:val="2"/>
          </w:tcPr>
          <w:p>
            <w:pPr>
              <w:jc w:val="center"/>
              <w:ind w:left="292"/>
              <w:spacing w:after="0"/>
              <w:rPr>
                <w:sz w:val="20"/>
                <w:szCs w:val="20"/>
                <w:color w:val="auto"/>
              </w:rPr>
            </w:pPr>
            <w:r>
              <w:rPr>
                <w:rFonts w:ascii="Arial" w:cs="Arial" w:eastAsia="Arial" w:hAnsi="Arial"/>
                <w:sz w:val="10"/>
                <w:szCs w:val="10"/>
                <w:b w:val="1"/>
                <w:bCs w:val="1"/>
                <w:color w:val="05445E"/>
                <w:w w:val="97"/>
              </w:rPr>
              <w:t>($)</w:t>
            </w:r>
          </w:p>
        </w:tc>
        <w:tc>
          <w:tcPr>
            <w:tcW w:w="1240" w:type="dxa"/>
            <w:vAlign w:val="bottom"/>
            <w:gridSpan w:val="3"/>
          </w:tcPr>
          <w:p>
            <w:pPr>
              <w:jc w:val="center"/>
              <w:ind w:left="272"/>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Pr>
          <w:p>
            <w:pPr>
              <w:spacing w:after="0"/>
              <w:rPr>
                <w:sz w:val="12"/>
                <w:szCs w:val="12"/>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b w:val="1"/>
                <w:bCs w:val="1"/>
                <w:color w:val="05445E"/>
                <w:w w:val="97"/>
              </w:rPr>
              <w:t>(#)</w:t>
            </w:r>
          </w:p>
        </w:tc>
        <w:tc>
          <w:tcPr>
            <w:tcW w:w="1180" w:type="dxa"/>
            <w:vAlign w:val="bottom"/>
            <w:gridSpan w:val="3"/>
          </w:tcPr>
          <w:p>
            <w:pPr>
              <w:jc w:val="center"/>
              <w:ind w:left="232"/>
              <w:spacing w:after="0"/>
              <w:rPr>
                <w:sz w:val="20"/>
                <w:szCs w:val="20"/>
                <w:color w:val="auto"/>
              </w:rPr>
            </w:pPr>
            <w:r>
              <w:rPr>
                <w:rFonts w:ascii="Arial" w:cs="Arial" w:eastAsia="Arial" w:hAnsi="Arial"/>
                <w:sz w:val="10"/>
                <w:szCs w:val="10"/>
                <w:b w:val="1"/>
                <w:bCs w:val="1"/>
                <w:color w:val="05445E"/>
                <w:w w:val="81"/>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52"/>
              <w:spacing w:after="0"/>
              <w:rPr>
                <w:sz w:val="20"/>
                <w:szCs w:val="20"/>
                <w:color w:val="auto"/>
              </w:rPr>
            </w:pPr>
            <w:r>
              <w:rPr>
                <w:rFonts w:ascii="Arial" w:cs="Arial" w:eastAsia="Arial" w:hAnsi="Arial"/>
                <w:sz w:val="10"/>
                <w:szCs w:val="10"/>
                <w:b w:val="1"/>
                <w:bCs w:val="1"/>
                <w:color w:val="05445E"/>
                <w:w w:val="97"/>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b w:val="1"/>
                <w:bCs w:val="1"/>
                <w:color w:val="05445E"/>
                <w:w w:val="90"/>
              </w:rPr>
              <w:t>(#)</w:t>
            </w:r>
            <w:r>
              <w:rPr>
                <w:rFonts w:ascii="Arial" w:cs="Arial" w:eastAsia="Arial" w:hAnsi="Arial"/>
                <w:sz w:val="12"/>
                <w:szCs w:val="12"/>
                <w:b w:val="1"/>
                <w:bCs w:val="1"/>
                <w:color w:val="05445E"/>
                <w:w w:val="90"/>
                <w:vertAlign w:val="superscript"/>
              </w:rPr>
              <w:t>(3)</w:t>
            </w:r>
          </w:p>
        </w:tc>
        <w:tc>
          <w:tcPr>
            <w:tcW w:w="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05445E"/>
                <w:w w:val="90"/>
              </w:rPr>
              <w:t>($)</w:t>
            </w:r>
            <w:r>
              <w:rPr>
                <w:rFonts w:ascii="Arial" w:cs="Arial" w:eastAsia="Arial" w:hAnsi="Arial"/>
                <w:sz w:val="12"/>
                <w:szCs w:val="12"/>
                <w:b w:val="1"/>
                <w:bCs w:val="1"/>
                <w:color w:val="05445E"/>
                <w:w w:val="90"/>
                <w:vertAlign w:val="superscript"/>
              </w:rPr>
              <w:t>(4)</w:t>
            </w:r>
          </w:p>
        </w:tc>
        <w:tc>
          <w:tcPr>
            <w:tcW w:w="0" w:type="dxa"/>
            <w:vAlign w:val="bottom"/>
          </w:tcPr>
          <w:p>
            <w:pPr>
              <w:spacing w:after="0"/>
              <w:rPr>
                <w:sz w:val="1"/>
                <w:szCs w:val="1"/>
                <w:color w:val="auto"/>
              </w:rPr>
            </w:pPr>
          </w:p>
        </w:tc>
      </w:tr>
      <w:tr>
        <w:trPr>
          <w:trHeight w:val="116"/>
        </w:trPr>
        <w:tc>
          <w:tcPr>
            <w:tcW w:w="1780" w:type="dxa"/>
            <w:vAlign w:val="bottom"/>
            <w:tcBorders>
              <w:top w:val="single" w:sz="8" w:color="929292"/>
            </w:tcBorders>
            <w:shd w:val="clear" w:color="auto" w:fill="DBDBDB"/>
          </w:tcPr>
          <w:p>
            <w:pPr>
              <w:spacing w:after="0"/>
              <w:rPr>
                <w:sz w:val="20"/>
                <w:szCs w:val="20"/>
                <w:color w:val="auto"/>
              </w:rPr>
            </w:pPr>
            <w:r>
              <w:rPr>
                <w:rFonts w:ascii="Arial" w:cs="Arial" w:eastAsia="Arial" w:hAnsi="Arial"/>
                <w:sz w:val="10"/>
                <w:szCs w:val="10"/>
                <w:color w:val="auto"/>
              </w:rPr>
              <w:t>Donald A.</w:t>
            </w:r>
          </w:p>
        </w:tc>
        <w:tc>
          <w:tcPr>
            <w:tcW w:w="80" w:type="dxa"/>
            <w:vAlign w:val="bottom"/>
            <w:tcBorders>
              <w:top w:val="single" w:sz="8" w:color="DBDBDB"/>
            </w:tcBorders>
            <w:shd w:val="clear" w:color="auto" w:fill="DBDBDB"/>
          </w:tcPr>
          <w:p>
            <w:pPr>
              <w:spacing w:after="0"/>
              <w:rPr>
                <w:sz w:val="10"/>
                <w:szCs w:val="10"/>
                <w:color w:val="auto"/>
              </w:rPr>
            </w:pPr>
          </w:p>
        </w:tc>
        <w:tc>
          <w:tcPr>
            <w:tcW w:w="108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740" w:type="dxa"/>
            <w:vAlign w:val="bottom"/>
            <w:tcBorders>
              <w:top w:val="single" w:sz="8" w:color="929292"/>
            </w:tcBorders>
            <w:shd w:val="clear" w:color="auto" w:fill="DBDBDB"/>
          </w:tcPr>
          <w:p>
            <w:pPr>
              <w:spacing w:after="0"/>
              <w:rPr>
                <w:sz w:val="10"/>
                <w:szCs w:val="10"/>
                <w:color w:val="auto"/>
              </w:rPr>
            </w:pPr>
          </w:p>
        </w:tc>
        <w:tc>
          <w:tcPr>
            <w:tcW w:w="26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20" w:type="dxa"/>
            <w:vAlign w:val="bottom"/>
            <w:tcBorders>
              <w:top w:val="single" w:sz="8" w:color="929292"/>
            </w:tcBorders>
            <w:shd w:val="clear" w:color="auto" w:fill="DBDBDB"/>
          </w:tcPr>
          <w:p>
            <w:pPr>
              <w:spacing w:after="0"/>
              <w:rPr>
                <w:sz w:val="10"/>
                <w:szCs w:val="10"/>
                <w:color w:val="auto"/>
              </w:rPr>
            </w:pPr>
          </w:p>
        </w:tc>
        <w:tc>
          <w:tcPr>
            <w:tcW w:w="74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00" w:type="dxa"/>
            <w:vAlign w:val="bottom"/>
            <w:tcBorders>
              <w:top w:val="single" w:sz="8" w:color="929292"/>
            </w:tcBorders>
            <w:shd w:val="clear" w:color="auto" w:fill="DBDBDB"/>
          </w:tcPr>
          <w:p>
            <w:pPr>
              <w:spacing w:after="0"/>
              <w:rPr>
                <w:sz w:val="10"/>
                <w:szCs w:val="10"/>
                <w:color w:val="auto"/>
              </w:rPr>
            </w:pPr>
          </w:p>
        </w:tc>
        <w:tc>
          <w:tcPr>
            <w:tcW w:w="2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80" w:type="dxa"/>
            <w:vAlign w:val="bottom"/>
            <w:tcBorders>
              <w:top w:val="single" w:sz="8" w:color="929292"/>
            </w:tcBorders>
            <w:shd w:val="clear" w:color="auto" w:fill="DBDBDB"/>
          </w:tcPr>
          <w:p>
            <w:pPr>
              <w:spacing w:after="0"/>
              <w:rPr>
                <w:sz w:val="10"/>
                <w:szCs w:val="10"/>
                <w:color w:val="auto"/>
              </w:rPr>
            </w:pPr>
          </w:p>
        </w:tc>
        <w:tc>
          <w:tcPr>
            <w:tcW w:w="8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4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040" w:type="dxa"/>
            <w:vAlign w:val="bottom"/>
            <w:tcBorders>
              <w:top w:val="single" w:sz="8" w:color="929292"/>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780" w:type="dxa"/>
            <w:vAlign w:val="bottom"/>
            <w:shd w:val="clear" w:color="auto" w:fill="DBDBDB"/>
          </w:tcPr>
          <w:p>
            <w:pPr>
              <w:spacing w:after="0"/>
              <w:rPr>
                <w:sz w:val="20"/>
                <w:szCs w:val="20"/>
                <w:color w:val="auto"/>
              </w:rPr>
            </w:pPr>
            <w:r>
              <w:rPr>
                <w:rFonts w:ascii="Arial" w:cs="Arial" w:eastAsia="Arial" w:hAnsi="Arial"/>
                <w:sz w:val="10"/>
                <w:szCs w:val="10"/>
                <w:color w:val="auto"/>
              </w:rPr>
              <w:t>Nolan</w:t>
            </w:r>
            <w:r>
              <w:rPr>
                <w:rFonts w:ascii="Arial" w:cs="Arial" w:eastAsia="Arial" w:hAnsi="Arial"/>
                <w:sz w:val="12"/>
                <w:szCs w:val="12"/>
                <w:color w:val="auto"/>
                <w:vertAlign w:val="superscript"/>
              </w:rPr>
              <w:t>(5)</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Fiscal 2026 short-term cash incentive</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4"/>
              </w:rPr>
              <w:t>11/1/2025</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925,000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8"/>
              </w:rPr>
              <w:t>1,850,000</w:t>
            </w: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68"/>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CEO Offer Letter restricted stock</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1/14/2026</w:t>
            </w:r>
          </w:p>
        </w:tc>
        <w:tc>
          <w:tcPr>
            <w:tcW w:w="80" w:type="dxa"/>
            <w:vAlign w:val="bottom"/>
            <w:shd w:val="clear" w:color="auto" w:fill="DBDBDB"/>
          </w:tcPr>
          <w:p>
            <w:pPr>
              <w:spacing w:after="0"/>
              <w:rPr>
                <w:sz w:val="14"/>
                <w:szCs w:val="14"/>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1"/>
              </w:rPr>
              <w:t>49,240</w:t>
            </w:r>
          </w:p>
        </w:tc>
        <w:tc>
          <w:tcPr>
            <w:tcW w:w="80" w:type="dxa"/>
            <w:vAlign w:val="bottom"/>
            <w:shd w:val="clear" w:color="auto" w:fill="DBDBDB"/>
          </w:tcPr>
          <w:p>
            <w:pPr>
              <w:spacing w:after="0"/>
              <w:rPr>
                <w:sz w:val="14"/>
                <w:szCs w:val="14"/>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4"/>
              </w:rPr>
              <w:t>1,749,990</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20"/>
                <w:szCs w:val="20"/>
                <w:color w:val="auto"/>
              </w:rPr>
            </w:pPr>
            <w:r>
              <w:rPr>
                <w:rFonts w:ascii="Arial" w:cs="Arial" w:eastAsia="Arial" w:hAnsi="Arial"/>
                <w:sz w:val="10"/>
                <w:szCs w:val="10"/>
                <w:color w:val="auto"/>
              </w:rPr>
              <w:t>Mark R.</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80" w:type="dxa"/>
            <w:vAlign w:val="bottom"/>
          </w:tcPr>
          <w:p>
            <w:pPr>
              <w:spacing w:after="0"/>
              <w:rPr>
                <w:sz w:val="20"/>
                <w:szCs w:val="20"/>
                <w:color w:val="auto"/>
              </w:rPr>
            </w:pPr>
            <w:r>
              <w:rPr>
                <w:rFonts w:ascii="Arial" w:cs="Arial" w:eastAsia="Arial" w:hAnsi="Arial"/>
                <w:sz w:val="10"/>
                <w:szCs w:val="10"/>
                <w:color w:val="auto"/>
              </w:rPr>
              <w:t>Augdahl</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0"/>
                <w:szCs w:val="10"/>
                <w:color w:val="auto"/>
              </w:rPr>
              <w:t>Fiscal 2026 short-term cash incentive</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tcPr>
          <w:p>
            <w:pPr>
              <w:jc w:val="center"/>
              <w:ind w:left="272"/>
              <w:spacing w:after="0"/>
              <w:rPr>
                <w:sz w:val="20"/>
                <w:szCs w:val="20"/>
                <w:color w:val="auto"/>
              </w:rPr>
            </w:pPr>
            <w:r>
              <w:rPr>
                <w:rFonts w:ascii="Arial" w:cs="Arial" w:eastAsia="Arial" w:hAnsi="Arial"/>
                <w:sz w:val="10"/>
                <w:szCs w:val="10"/>
                <w:color w:val="auto"/>
                <w:w w:val="97"/>
              </w:rPr>
              <w:t>22,063</w:t>
            </w:r>
          </w:p>
        </w:tc>
        <w:tc>
          <w:tcPr>
            <w:tcW w:w="1240" w:type="dxa"/>
            <w:vAlign w:val="bottom"/>
            <w:gridSpan w:val="3"/>
          </w:tcPr>
          <w:p>
            <w:pPr>
              <w:jc w:val="center"/>
              <w:ind w:left="292"/>
              <w:spacing w:after="0"/>
              <w:rPr>
                <w:sz w:val="20"/>
                <w:szCs w:val="20"/>
                <w:color w:val="auto"/>
              </w:rPr>
            </w:pPr>
            <w:r>
              <w:rPr>
                <w:rFonts w:ascii="Arial" w:cs="Arial" w:eastAsia="Arial" w:hAnsi="Arial"/>
                <w:sz w:val="10"/>
                <w:szCs w:val="10"/>
                <w:color w:val="auto"/>
                <w:w w:val="93"/>
              </w:rPr>
              <w:t>176,500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color w:val="auto"/>
                <w:w w:val="99"/>
              </w:rPr>
              <w:t>353,000</w:t>
            </w:r>
          </w:p>
        </w:tc>
        <w:tc>
          <w:tcPr>
            <w:tcW w:w="80" w:type="dxa"/>
            <w:vAlign w:val="bottom"/>
          </w:tcPr>
          <w:p>
            <w:pPr>
              <w:spacing w:after="0"/>
              <w:rPr>
                <w:sz w:val="13"/>
                <w:szCs w:val="13"/>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0"/>
                <w:szCs w:val="10"/>
                <w:color w:val="auto"/>
              </w:rPr>
              <w:t>LTIP Fiscal 2026 restricted stock</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0" w:type="dxa"/>
            <w:vAlign w:val="bottom"/>
          </w:tcPr>
          <w:p>
            <w:pPr>
              <w:spacing w:after="0"/>
              <w:rPr>
                <w:sz w:val="13"/>
                <w:szCs w:val="13"/>
                <w:color w:val="auto"/>
              </w:rPr>
            </w:pPr>
          </w:p>
        </w:tc>
        <w:tc>
          <w:tcPr>
            <w:tcW w:w="740" w:type="dxa"/>
            <w:vAlign w:val="bottom"/>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color w:val="auto"/>
                <w:w w:val="95"/>
              </w:rPr>
              <w:t>3,870</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176,511</w:t>
            </w:r>
          </w:p>
        </w:tc>
        <w:tc>
          <w:tcPr>
            <w:tcW w:w="0" w:type="dxa"/>
            <w:vAlign w:val="bottom"/>
          </w:tcPr>
          <w:p>
            <w:pPr>
              <w:spacing w:after="0"/>
              <w:rPr>
                <w:sz w:val="1"/>
                <w:szCs w:val="1"/>
                <w:color w:val="auto"/>
              </w:rPr>
            </w:pPr>
          </w:p>
        </w:tc>
      </w:tr>
      <w:tr>
        <w:trPr>
          <w:trHeight w:val="145"/>
        </w:trPr>
        <w:tc>
          <w:tcPr>
            <w:tcW w:w="1780" w:type="dxa"/>
            <w:vAlign w:val="bottom"/>
          </w:tcPr>
          <w:p>
            <w:pPr>
              <w:ind w:left="60"/>
              <w:spacing w:after="0"/>
              <w:rPr>
                <w:sz w:val="20"/>
                <w:szCs w:val="20"/>
                <w:color w:val="auto"/>
              </w:rPr>
            </w:pPr>
            <w:r>
              <w:rPr>
                <w:rFonts w:ascii="Arial" w:cs="Arial" w:eastAsia="Arial" w:hAnsi="Arial"/>
                <w:sz w:val="10"/>
                <w:szCs w:val="10"/>
                <w:color w:val="auto"/>
              </w:rPr>
              <w:t>LTIP Fiscal</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tcPr>
          <w:p>
            <w:pPr>
              <w:jc w:val="center"/>
              <w:ind w:left="272"/>
              <w:spacing w:after="0"/>
              <w:rPr>
                <w:sz w:val="20"/>
                <w:szCs w:val="20"/>
                <w:color w:val="auto"/>
              </w:rPr>
            </w:pPr>
            <w:r>
              <w:rPr>
                <w:rFonts w:ascii="Arial" w:cs="Arial" w:eastAsia="Arial" w:hAnsi="Arial"/>
                <w:sz w:val="10"/>
                <w:szCs w:val="10"/>
                <w:color w:val="auto"/>
                <w:w w:val="97"/>
              </w:rPr>
              <w:t>44,125</w:t>
            </w:r>
          </w:p>
        </w:tc>
        <w:tc>
          <w:tcPr>
            <w:tcW w:w="1240" w:type="dxa"/>
            <w:vAlign w:val="bottom"/>
            <w:gridSpan w:val="3"/>
          </w:tcPr>
          <w:p>
            <w:pPr>
              <w:jc w:val="center"/>
              <w:ind w:left="292"/>
              <w:spacing w:after="0"/>
              <w:rPr>
                <w:sz w:val="20"/>
                <w:szCs w:val="20"/>
                <w:color w:val="auto"/>
              </w:rPr>
            </w:pPr>
            <w:r>
              <w:rPr>
                <w:rFonts w:ascii="Arial" w:cs="Arial" w:eastAsia="Arial" w:hAnsi="Arial"/>
                <w:sz w:val="10"/>
                <w:szCs w:val="10"/>
                <w:color w:val="auto"/>
                <w:w w:val="97"/>
              </w:rPr>
              <w:t>88,250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color w:val="auto"/>
                <w:w w:val="99"/>
              </w:rPr>
              <w:t>176,500</w:t>
            </w:r>
          </w:p>
        </w:tc>
        <w:tc>
          <w:tcPr>
            <w:tcW w:w="80" w:type="dxa"/>
            <w:vAlign w:val="bottom"/>
          </w:tcPr>
          <w:p>
            <w:pPr>
              <w:spacing w:after="0"/>
              <w:rPr>
                <w:sz w:val="12"/>
                <w:szCs w:val="12"/>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95"/>
              </w:rPr>
              <w:t>968</w:t>
            </w:r>
          </w:p>
        </w:tc>
        <w:tc>
          <w:tcPr>
            <w:tcW w:w="1180" w:type="dxa"/>
            <w:vAlign w:val="bottom"/>
            <w:gridSpan w:val="3"/>
          </w:tcPr>
          <w:p>
            <w:pPr>
              <w:jc w:val="center"/>
              <w:ind w:left="252"/>
              <w:spacing w:after="0"/>
              <w:rPr>
                <w:sz w:val="20"/>
                <w:szCs w:val="20"/>
                <w:color w:val="auto"/>
              </w:rPr>
            </w:pPr>
            <w:r>
              <w:rPr>
                <w:rFonts w:ascii="Arial" w:cs="Arial" w:eastAsia="Arial" w:hAnsi="Arial"/>
                <w:sz w:val="10"/>
                <w:szCs w:val="10"/>
                <w:color w:val="auto"/>
                <w:w w:val="95"/>
              </w:rPr>
              <w:t>1,935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52"/>
              <w:spacing w:after="0"/>
              <w:rPr>
                <w:sz w:val="20"/>
                <w:szCs w:val="20"/>
                <w:color w:val="auto"/>
              </w:rPr>
            </w:pPr>
            <w:r>
              <w:rPr>
                <w:rFonts w:ascii="Arial" w:cs="Arial" w:eastAsia="Arial" w:hAnsi="Arial"/>
                <w:sz w:val="10"/>
                <w:szCs w:val="10"/>
                <w:color w:val="auto"/>
                <w:w w:val="95"/>
              </w:rPr>
              <w:t>3,870</w:t>
            </w:r>
          </w:p>
        </w:tc>
        <w:tc>
          <w:tcPr>
            <w:tcW w:w="80" w:type="dxa"/>
            <w:vAlign w:val="bottom"/>
          </w:tcPr>
          <w:p>
            <w:pPr>
              <w:spacing w:after="0"/>
              <w:rPr>
                <w:sz w:val="12"/>
                <w:szCs w:val="12"/>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tcPr>
          <w:p>
            <w:pPr>
              <w:jc w:val="center"/>
              <w:spacing w:after="0"/>
              <w:rPr>
                <w:sz w:val="20"/>
                <w:szCs w:val="20"/>
                <w:color w:val="auto"/>
              </w:rPr>
            </w:pPr>
            <w:r>
              <w:rPr>
                <w:rFonts w:ascii="Arial" w:cs="Arial" w:eastAsia="Arial" w:hAnsi="Arial"/>
                <w:sz w:val="10"/>
                <w:szCs w:val="10"/>
                <w:color w:val="auto"/>
                <w:w w:val="97"/>
              </w:rPr>
              <w:t>88,255</w:t>
            </w:r>
          </w:p>
        </w:tc>
        <w:tc>
          <w:tcPr>
            <w:tcW w:w="0" w:type="dxa"/>
            <w:vAlign w:val="bottom"/>
          </w:tcPr>
          <w:p>
            <w:pPr>
              <w:spacing w:after="0"/>
              <w:rPr>
                <w:sz w:val="1"/>
                <w:szCs w:val="1"/>
                <w:color w:val="auto"/>
              </w:rPr>
            </w:pPr>
          </w:p>
        </w:tc>
      </w:tr>
      <w:tr>
        <w:trPr>
          <w:trHeight w:val="125"/>
        </w:trPr>
        <w:tc>
          <w:tcPr>
            <w:tcW w:w="1780" w:type="dxa"/>
            <w:vAlign w:val="bottom"/>
          </w:tcPr>
          <w:p>
            <w:pPr>
              <w:ind w:left="60"/>
              <w:spacing w:after="0"/>
              <w:rPr>
                <w:sz w:val="20"/>
                <w:szCs w:val="20"/>
                <w:color w:val="auto"/>
              </w:rPr>
            </w:pPr>
            <w:r>
              <w:rPr>
                <w:rFonts w:ascii="Arial" w:cs="Arial" w:eastAsia="Arial" w:hAnsi="Arial"/>
                <w:sz w:val="10"/>
                <w:szCs w:val="10"/>
                <w:color w:val="auto"/>
              </w:rPr>
              <w:t>2026 - 2028 performance award</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80" w:type="dxa"/>
            <w:vAlign w:val="bottom"/>
          </w:tcPr>
          <w:p>
            <w:pPr>
              <w:ind w:left="60"/>
              <w:spacing w:after="0"/>
              <w:rPr>
                <w:sz w:val="20"/>
                <w:szCs w:val="20"/>
                <w:color w:val="auto"/>
              </w:rPr>
            </w:pPr>
            <w:r>
              <w:rPr>
                <w:rFonts w:ascii="Arial" w:cs="Arial" w:eastAsia="Arial" w:hAnsi="Arial"/>
                <w:sz w:val="10"/>
                <w:szCs w:val="10"/>
                <w:color w:val="auto"/>
              </w:rPr>
              <w:t>Restricted stock - promotion</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1/19/2026</w:t>
            </w:r>
          </w:p>
        </w:tc>
        <w:tc>
          <w:tcPr>
            <w:tcW w:w="80" w:type="dxa"/>
            <w:vAlign w:val="bottom"/>
          </w:tcPr>
          <w:p>
            <w:pPr>
              <w:spacing w:after="0"/>
              <w:rPr>
                <w:sz w:val="13"/>
                <w:szCs w:val="13"/>
                <w:color w:val="auto"/>
              </w:rPr>
            </w:pPr>
          </w:p>
        </w:tc>
        <w:tc>
          <w:tcPr>
            <w:tcW w:w="740" w:type="dxa"/>
            <w:vAlign w:val="bottom"/>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color w:val="auto"/>
                <w:w w:val="91"/>
              </w:rPr>
              <w:t>18,960</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700,003</w:t>
            </w:r>
          </w:p>
        </w:tc>
        <w:tc>
          <w:tcPr>
            <w:tcW w:w="0" w:type="dxa"/>
            <w:vAlign w:val="bottom"/>
          </w:tcPr>
          <w:p>
            <w:pPr>
              <w:spacing w:after="0"/>
              <w:rPr>
                <w:sz w:val="1"/>
                <w:szCs w:val="1"/>
                <w:color w:val="auto"/>
              </w:rPr>
            </w:pPr>
          </w:p>
        </w:tc>
      </w:tr>
      <w:tr>
        <w:trPr>
          <w:trHeight w:val="138"/>
        </w:trPr>
        <w:tc>
          <w:tcPr>
            <w:tcW w:w="1780" w:type="dxa"/>
            <w:vAlign w:val="bottom"/>
            <w:shd w:val="clear" w:color="auto" w:fill="DBDBDB"/>
          </w:tcPr>
          <w:p>
            <w:pPr>
              <w:spacing w:after="0"/>
              <w:rPr>
                <w:sz w:val="20"/>
                <w:szCs w:val="20"/>
                <w:color w:val="auto"/>
              </w:rPr>
            </w:pPr>
            <w:r>
              <w:rPr>
                <w:rFonts w:ascii="Arial" w:cs="Arial" w:eastAsia="Arial" w:hAnsi="Arial"/>
                <w:sz w:val="10"/>
                <w:szCs w:val="10"/>
                <w:color w:val="auto"/>
              </w:rPr>
              <w:t>Troy R</w:t>
            </w:r>
          </w:p>
        </w:tc>
        <w:tc>
          <w:tcPr>
            <w:tcW w:w="8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80" w:type="dxa"/>
            <w:vAlign w:val="bottom"/>
            <w:shd w:val="clear" w:color="auto" w:fill="DBDBDB"/>
          </w:tcPr>
          <w:p>
            <w:pPr>
              <w:spacing w:after="0"/>
              <w:rPr>
                <w:sz w:val="20"/>
                <w:szCs w:val="20"/>
                <w:color w:val="auto"/>
              </w:rPr>
            </w:pPr>
            <w:r>
              <w:rPr>
                <w:rFonts w:ascii="Arial" w:cs="Arial" w:eastAsia="Arial" w:hAnsi="Arial"/>
                <w:sz w:val="10"/>
                <w:szCs w:val="10"/>
                <w:color w:val="auto"/>
              </w:rPr>
              <w:t>Johnson</w:t>
            </w:r>
          </w:p>
        </w:tc>
        <w:tc>
          <w:tcPr>
            <w:tcW w:w="8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Fiscal 2026 short-term cash incentive</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shd w:val="clear" w:color="auto" w:fill="DBDBDB"/>
          </w:tcPr>
          <w:p>
            <w:pPr>
              <w:jc w:val="center"/>
              <w:ind w:left="272"/>
              <w:spacing w:after="0"/>
              <w:rPr>
                <w:sz w:val="20"/>
                <w:szCs w:val="20"/>
                <w:color w:val="auto"/>
              </w:rPr>
            </w:pPr>
            <w:r>
              <w:rPr>
                <w:rFonts w:ascii="Arial" w:cs="Arial" w:eastAsia="Arial" w:hAnsi="Arial"/>
                <w:sz w:val="10"/>
                <w:szCs w:val="10"/>
                <w:color w:val="auto"/>
                <w:w w:val="97"/>
              </w:rPr>
              <w:t>21,601</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288,015</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9"/>
              </w:rPr>
              <w:t>576,030</w:t>
            </w:r>
          </w:p>
        </w:tc>
        <w:tc>
          <w:tcPr>
            <w:tcW w:w="80" w:type="dxa"/>
            <w:vAlign w:val="bottom"/>
            <w:shd w:val="clear" w:color="auto" w:fill="DBDBDB"/>
          </w:tcPr>
          <w:p>
            <w:pPr>
              <w:spacing w:after="0"/>
              <w:rPr>
                <w:sz w:val="13"/>
                <w:szCs w:val="13"/>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LTIP Fiscal 2026 restricted stock</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5"/>
              </w:rPr>
              <w:t>6,285</w:t>
            </w:r>
          </w:p>
        </w:tc>
        <w:tc>
          <w:tcPr>
            <w:tcW w:w="80" w:type="dxa"/>
            <w:vAlign w:val="bottom"/>
            <w:shd w:val="clear" w:color="auto" w:fill="DBDBDB"/>
          </w:tcPr>
          <w:p>
            <w:pPr>
              <w:spacing w:after="0"/>
              <w:rPr>
                <w:sz w:val="13"/>
                <w:szCs w:val="13"/>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286,659</w:t>
            </w:r>
          </w:p>
        </w:tc>
        <w:tc>
          <w:tcPr>
            <w:tcW w:w="0" w:type="dxa"/>
            <w:vAlign w:val="bottom"/>
          </w:tcPr>
          <w:p>
            <w:pPr>
              <w:spacing w:after="0"/>
              <w:rPr>
                <w:sz w:val="1"/>
                <w:szCs w:val="1"/>
                <w:color w:val="auto"/>
              </w:rPr>
            </w:pPr>
          </w:p>
        </w:tc>
      </w:tr>
      <w:tr>
        <w:trPr>
          <w:trHeight w:val="145"/>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LTIP Fiscal 2026 - 2028 performance</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7"/>
              </w:rPr>
              <w:t>68,250</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136,500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9"/>
              </w:rPr>
              <w:t>273,000</w:t>
            </w: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95"/>
              </w:rPr>
              <w:t>1,497</w:t>
            </w:r>
          </w:p>
        </w:tc>
        <w:tc>
          <w:tcPr>
            <w:tcW w:w="1180" w:type="dxa"/>
            <w:vAlign w:val="bottom"/>
            <w:gridSpan w:val="3"/>
            <w:shd w:val="clear" w:color="auto" w:fill="DBDBDB"/>
          </w:tcPr>
          <w:p>
            <w:pPr>
              <w:jc w:val="center"/>
              <w:ind w:left="252"/>
              <w:spacing w:after="0"/>
              <w:rPr>
                <w:sz w:val="20"/>
                <w:szCs w:val="20"/>
                <w:color w:val="auto"/>
              </w:rPr>
            </w:pPr>
            <w:r>
              <w:rPr>
                <w:rFonts w:ascii="Arial" w:cs="Arial" w:eastAsia="Arial" w:hAnsi="Arial"/>
                <w:sz w:val="10"/>
                <w:szCs w:val="10"/>
                <w:color w:val="auto"/>
                <w:w w:val="95"/>
              </w:rPr>
              <w:t>2,993</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right="152"/>
              <w:spacing w:after="0"/>
              <w:rPr>
                <w:sz w:val="20"/>
                <w:szCs w:val="20"/>
                <w:color w:val="auto"/>
              </w:rPr>
            </w:pPr>
            <w:r>
              <w:rPr>
                <w:rFonts w:ascii="Arial" w:cs="Arial" w:eastAsia="Arial" w:hAnsi="Arial"/>
                <w:sz w:val="10"/>
                <w:szCs w:val="10"/>
                <w:color w:val="auto"/>
                <w:w w:val="95"/>
              </w:rPr>
              <w:t>5,986</w:t>
            </w:r>
          </w:p>
        </w:tc>
        <w:tc>
          <w:tcPr>
            <w:tcW w:w="8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136,511</w:t>
            </w:r>
          </w:p>
        </w:tc>
        <w:tc>
          <w:tcPr>
            <w:tcW w:w="0" w:type="dxa"/>
            <w:vAlign w:val="bottom"/>
          </w:tcPr>
          <w:p>
            <w:pPr>
              <w:spacing w:after="0"/>
              <w:rPr>
                <w:sz w:val="1"/>
                <w:szCs w:val="1"/>
                <w:color w:val="auto"/>
              </w:rPr>
            </w:pPr>
          </w:p>
        </w:tc>
      </w:tr>
      <w:tr>
        <w:trPr>
          <w:trHeight w:val="125"/>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award</w:t>
            </w:r>
          </w:p>
        </w:tc>
        <w:tc>
          <w:tcPr>
            <w:tcW w:w="8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Restricted Stock - reassignment</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10/17/2025</w:t>
            </w:r>
          </w:p>
        </w:tc>
        <w:tc>
          <w:tcPr>
            <w:tcW w:w="8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5"/>
              </w:rPr>
              <w:t>8,553</w:t>
            </w:r>
          </w:p>
        </w:tc>
        <w:tc>
          <w:tcPr>
            <w:tcW w:w="80" w:type="dxa"/>
            <w:vAlign w:val="bottom"/>
            <w:shd w:val="clear" w:color="auto" w:fill="DBDBDB"/>
          </w:tcPr>
          <w:p>
            <w:pPr>
              <w:spacing w:after="0"/>
              <w:rPr>
                <w:sz w:val="13"/>
                <w:szCs w:val="13"/>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325,014</w:t>
            </w:r>
          </w:p>
        </w:tc>
        <w:tc>
          <w:tcPr>
            <w:tcW w:w="0" w:type="dxa"/>
            <w:vAlign w:val="bottom"/>
          </w:tcPr>
          <w:p>
            <w:pPr>
              <w:spacing w:after="0"/>
              <w:rPr>
                <w:sz w:val="1"/>
                <w:szCs w:val="1"/>
                <w:color w:val="auto"/>
              </w:rPr>
            </w:pPr>
          </w:p>
        </w:tc>
      </w:tr>
      <w:tr>
        <w:trPr>
          <w:trHeight w:val="168"/>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Restricted Stock - retention</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1/14/2026</w:t>
            </w:r>
          </w:p>
        </w:tc>
        <w:tc>
          <w:tcPr>
            <w:tcW w:w="80" w:type="dxa"/>
            <w:vAlign w:val="bottom"/>
            <w:shd w:val="clear" w:color="auto" w:fill="DBDBDB"/>
          </w:tcPr>
          <w:p>
            <w:pPr>
              <w:spacing w:after="0"/>
              <w:rPr>
                <w:sz w:val="14"/>
                <w:szCs w:val="14"/>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1"/>
              </w:rPr>
              <w:t>16,882</w:t>
            </w:r>
          </w:p>
        </w:tc>
        <w:tc>
          <w:tcPr>
            <w:tcW w:w="80" w:type="dxa"/>
            <w:vAlign w:val="bottom"/>
            <w:shd w:val="clear" w:color="auto" w:fill="DBDBDB"/>
          </w:tcPr>
          <w:p>
            <w:pPr>
              <w:spacing w:after="0"/>
              <w:rPr>
                <w:sz w:val="14"/>
                <w:szCs w:val="14"/>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599,986</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20"/>
                <w:szCs w:val="20"/>
                <w:color w:val="auto"/>
              </w:rPr>
            </w:pPr>
            <w:r>
              <w:rPr>
                <w:rFonts w:ascii="Arial" w:cs="Arial" w:eastAsia="Arial" w:hAnsi="Arial"/>
                <w:sz w:val="10"/>
                <w:szCs w:val="10"/>
                <w:color w:val="auto"/>
              </w:rPr>
              <w:t>Veena M.</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80" w:type="dxa"/>
            <w:vAlign w:val="bottom"/>
          </w:tcPr>
          <w:p>
            <w:pPr>
              <w:spacing w:after="0"/>
              <w:rPr>
                <w:sz w:val="20"/>
                <w:szCs w:val="20"/>
                <w:color w:val="auto"/>
              </w:rPr>
            </w:pPr>
            <w:r>
              <w:rPr>
                <w:rFonts w:ascii="Arial" w:cs="Arial" w:eastAsia="Arial" w:hAnsi="Arial"/>
                <w:sz w:val="10"/>
                <w:szCs w:val="10"/>
                <w:color w:val="auto"/>
              </w:rPr>
              <w:t>Lakkundi</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0"/>
                <w:szCs w:val="10"/>
                <w:color w:val="auto"/>
              </w:rPr>
              <w:t>Fiscal 2026 short-term cash incentive</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tcPr>
          <w:p>
            <w:pPr>
              <w:jc w:val="center"/>
              <w:ind w:left="272"/>
              <w:spacing w:after="0"/>
              <w:rPr>
                <w:sz w:val="20"/>
                <w:szCs w:val="20"/>
                <w:color w:val="auto"/>
              </w:rPr>
            </w:pPr>
            <w:r>
              <w:rPr>
                <w:rFonts w:ascii="Arial" w:cs="Arial" w:eastAsia="Arial" w:hAnsi="Arial"/>
                <w:sz w:val="10"/>
                <w:szCs w:val="10"/>
                <w:color w:val="auto"/>
                <w:w w:val="97"/>
              </w:rPr>
              <w:t>24,750</w:t>
            </w:r>
          </w:p>
        </w:tc>
        <w:tc>
          <w:tcPr>
            <w:tcW w:w="1240" w:type="dxa"/>
            <w:vAlign w:val="bottom"/>
            <w:gridSpan w:val="3"/>
          </w:tcPr>
          <w:p>
            <w:pPr>
              <w:jc w:val="center"/>
              <w:ind w:left="292"/>
              <w:spacing w:after="0"/>
              <w:rPr>
                <w:sz w:val="20"/>
                <w:szCs w:val="20"/>
                <w:color w:val="auto"/>
              </w:rPr>
            </w:pPr>
            <w:r>
              <w:rPr>
                <w:rFonts w:ascii="Arial" w:cs="Arial" w:eastAsia="Arial" w:hAnsi="Arial"/>
                <w:sz w:val="10"/>
                <w:szCs w:val="10"/>
                <w:color w:val="auto"/>
                <w:w w:val="93"/>
              </w:rPr>
              <w:t>330,000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color w:val="auto"/>
                <w:w w:val="99"/>
              </w:rPr>
              <w:t>660,000</w:t>
            </w:r>
          </w:p>
        </w:tc>
        <w:tc>
          <w:tcPr>
            <w:tcW w:w="80" w:type="dxa"/>
            <w:vAlign w:val="bottom"/>
          </w:tcPr>
          <w:p>
            <w:pPr>
              <w:spacing w:after="0"/>
              <w:rPr>
                <w:sz w:val="13"/>
                <w:szCs w:val="13"/>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0"/>
                <w:szCs w:val="10"/>
                <w:color w:val="auto"/>
              </w:rPr>
              <w:t>LTIP Fiscal 2026 restricted stock</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0" w:type="dxa"/>
            <w:vAlign w:val="bottom"/>
          </w:tcPr>
          <w:p>
            <w:pPr>
              <w:spacing w:after="0"/>
              <w:rPr>
                <w:sz w:val="13"/>
                <w:szCs w:val="13"/>
                <w:color w:val="auto"/>
              </w:rPr>
            </w:pPr>
          </w:p>
        </w:tc>
        <w:tc>
          <w:tcPr>
            <w:tcW w:w="740" w:type="dxa"/>
            <w:vAlign w:val="bottom"/>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color w:val="auto"/>
                <w:w w:val="95"/>
              </w:rPr>
              <w:t>7,959</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363,010</w:t>
            </w:r>
          </w:p>
        </w:tc>
        <w:tc>
          <w:tcPr>
            <w:tcW w:w="0" w:type="dxa"/>
            <w:vAlign w:val="bottom"/>
          </w:tcPr>
          <w:p>
            <w:pPr>
              <w:spacing w:after="0"/>
              <w:rPr>
                <w:sz w:val="1"/>
                <w:szCs w:val="1"/>
                <w:color w:val="auto"/>
              </w:rPr>
            </w:pPr>
          </w:p>
        </w:tc>
      </w:tr>
      <w:tr>
        <w:trPr>
          <w:trHeight w:val="145"/>
        </w:trPr>
        <w:tc>
          <w:tcPr>
            <w:tcW w:w="1780" w:type="dxa"/>
            <w:vAlign w:val="bottom"/>
          </w:tcPr>
          <w:p>
            <w:pPr>
              <w:ind w:left="60"/>
              <w:spacing w:after="0"/>
              <w:rPr>
                <w:sz w:val="20"/>
                <w:szCs w:val="20"/>
                <w:color w:val="auto"/>
              </w:rPr>
            </w:pPr>
            <w:r>
              <w:rPr>
                <w:rFonts w:ascii="Arial" w:cs="Arial" w:eastAsia="Arial" w:hAnsi="Arial"/>
                <w:sz w:val="10"/>
                <w:szCs w:val="10"/>
                <w:color w:val="auto"/>
              </w:rPr>
              <w:t>LTIP Fiscal 2026 - 2028 performance</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tcPr>
          <w:p>
            <w:pPr>
              <w:jc w:val="center"/>
              <w:ind w:left="272"/>
              <w:spacing w:after="0"/>
              <w:rPr>
                <w:sz w:val="20"/>
                <w:szCs w:val="20"/>
                <w:color w:val="auto"/>
              </w:rPr>
            </w:pPr>
            <w:r>
              <w:rPr>
                <w:rFonts w:ascii="Arial" w:cs="Arial" w:eastAsia="Arial" w:hAnsi="Arial"/>
                <w:sz w:val="10"/>
                <w:szCs w:val="10"/>
                <w:color w:val="auto"/>
                <w:w w:val="97"/>
              </w:rPr>
              <w:t>82,500</w:t>
            </w:r>
          </w:p>
        </w:tc>
        <w:tc>
          <w:tcPr>
            <w:tcW w:w="1240" w:type="dxa"/>
            <w:vAlign w:val="bottom"/>
            <w:gridSpan w:val="3"/>
          </w:tcPr>
          <w:p>
            <w:pPr>
              <w:jc w:val="center"/>
              <w:ind w:left="292"/>
              <w:spacing w:after="0"/>
              <w:rPr>
                <w:sz w:val="20"/>
                <w:szCs w:val="20"/>
                <w:color w:val="auto"/>
              </w:rPr>
            </w:pPr>
            <w:r>
              <w:rPr>
                <w:rFonts w:ascii="Arial" w:cs="Arial" w:eastAsia="Arial" w:hAnsi="Arial"/>
                <w:sz w:val="10"/>
                <w:szCs w:val="10"/>
                <w:color w:val="auto"/>
                <w:w w:val="93"/>
              </w:rPr>
              <w:t>165,000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color w:val="auto"/>
                <w:w w:val="99"/>
              </w:rPr>
              <w:t>330,000</w:t>
            </w:r>
          </w:p>
        </w:tc>
        <w:tc>
          <w:tcPr>
            <w:tcW w:w="80" w:type="dxa"/>
            <w:vAlign w:val="bottom"/>
          </w:tcPr>
          <w:p>
            <w:pPr>
              <w:spacing w:after="0"/>
              <w:rPr>
                <w:sz w:val="12"/>
                <w:szCs w:val="12"/>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95"/>
              </w:rPr>
              <w:t>1,809</w:t>
            </w:r>
          </w:p>
        </w:tc>
        <w:tc>
          <w:tcPr>
            <w:tcW w:w="1180" w:type="dxa"/>
            <w:vAlign w:val="bottom"/>
            <w:gridSpan w:val="3"/>
          </w:tcPr>
          <w:p>
            <w:pPr>
              <w:jc w:val="center"/>
              <w:ind w:left="252"/>
              <w:spacing w:after="0"/>
              <w:rPr>
                <w:sz w:val="20"/>
                <w:szCs w:val="20"/>
                <w:color w:val="auto"/>
              </w:rPr>
            </w:pPr>
            <w:r>
              <w:rPr>
                <w:rFonts w:ascii="Arial" w:cs="Arial" w:eastAsia="Arial" w:hAnsi="Arial"/>
                <w:sz w:val="10"/>
                <w:szCs w:val="10"/>
                <w:color w:val="auto"/>
                <w:w w:val="95"/>
              </w:rPr>
              <w:t>3,618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52"/>
              <w:spacing w:after="0"/>
              <w:rPr>
                <w:sz w:val="20"/>
                <w:szCs w:val="20"/>
                <w:color w:val="auto"/>
              </w:rPr>
            </w:pPr>
            <w:r>
              <w:rPr>
                <w:rFonts w:ascii="Arial" w:cs="Arial" w:eastAsia="Arial" w:hAnsi="Arial"/>
                <w:sz w:val="10"/>
                <w:szCs w:val="10"/>
                <w:color w:val="auto"/>
                <w:w w:val="95"/>
              </w:rPr>
              <w:t>7,236</w:t>
            </w:r>
          </w:p>
        </w:tc>
        <w:tc>
          <w:tcPr>
            <w:tcW w:w="80" w:type="dxa"/>
            <w:vAlign w:val="bottom"/>
          </w:tcPr>
          <w:p>
            <w:pPr>
              <w:spacing w:after="0"/>
              <w:rPr>
                <w:sz w:val="12"/>
                <w:szCs w:val="12"/>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165,017</w:t>
            </w:r>
          </w:p>
        </w:tc>
        <w:tc>
          <w:tcPr>
            <w:tcW w:w="0" w:type="dxa"/>
            <w:vAlign w:val="bottom"/>
          </w:tcPr>
          <w:p>
            <w:pPr>
              <w:spacing w:after="0"/>
              <w:rPr>
                <w:sz w:val="1"/>
                <w:szCs w:val="1"/>
                <w:color w:val="auto"/>
              </w:rPr>
            </w:pPr>
          </w:p>
        </w:tc>
      </w:tr>
      <w:tr>
        <w:trPr>
          <w:trHeight w:val="125"/>
        </w:trPr>
        <w:tc>
          <w:tcPr>
            <w:tcW w:w="1780" w:type="dxa"/>
            <w:vAlign w:val="bottom"/>
          </w:tcPr>
          <w:p>
            <w:pPr>
              <w:ind w:left="60"/>
              <w:spacing w:after="0"/>
              <w:rPr>
                <w:sz w:val="20"/>
                <w:szCs w:val="20"/>
                <w:color w:val="auto"/>
              </w:rPr>
            </w:pPr>
            <w:r>
              <w:rPr>
                <w:rFonts w:ascii="Arial" w:cs="Arial" w:eastAsia="Arial" w:hAnsi="Arial"/>
                <w:sz w:val="10"/>
                <w:szCs w:val="10"/>
                <w:color w:val="auto"/>
              </w:rPr>
              <w:t>award</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0"/>
                <w:szCs w:val="10"/>
                <w:color w:val="auto"/>
              </w:rPr>
              <w:t>Restricted Stock - retention</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1/14/2026</w:t>
            </w:r>
          </w:p>
        </w:tc>
        <w:tc>
          <w:tcPr>
            <w:tcW w:w="80" w:type="dxa"/>
            <w:vAlign w:val="bottom"/>
          </w:tcPr>
          <w:p>
            <w:pPr>
              <w:spacing w:after="0"/>
              <w:rPr>
                <w:sz w:val="13"/>
                <w:szCs w:val="13"/>
                <w:color w:val="auto"/>
              </w:rPr>
            </w:pPr>
          </w:p>
        </w:tc>
        <w:tc>
          <w:tcPr>
            <w:tcW w:w="740" w:type="dxa"/>
            <w:vAlign w:val="bottom"/>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color w:val="auto"/>
                <w:w w:val="91"/>
              </w:rPr>
              <w:t>16,882</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599,986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59" w:name="page60"/>
    <w:bookmarkEnd w:id="59"/>
    <w:p>
      <w:pPr>
        <w:jc w:val="center"/>
        <w:ind w:right="-7"/>
        <w:spacing w:after="0"/>
        <w:rPr>
          <w:sz w:val="20"/>
          <w:szCs w:val="20"/>
          <w:color w:val="auto"/>
        </w:rPr>
      </w:pPr>
      <w:r>
        <w:rPr>
          <w:rFonts w:ascii="Arial" w:cs="Arial" w:eastAsia="Arial" w:hAnsi="Arial"/>
          <w:sz w:val="12"/>
          <w:szCs w:val="12"/>
          <w:b w:val="1"/>
          <w:bCs w:val="1"/>
          <w:color w:val="auto"/>
        </w:rPr>
        <w:t>Fiscal 2026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3"/>
              </w:rPr>
              <w:t>All</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7"/>
              </w:rPr>
              <w:t>Other</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05445E"/>
                <w:w w:val="95"/>
              </w:rPr>
              <w:t>Stock</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6"/>
              </w:rPr>
              <w:t>Awards:</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4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05445E"/>
                <w:w w:val="95"/>
              </w:rPr>
              <w:t>Estimated Future Payouts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5"/>
            <w:vMerge w:val="restart"/>
          </w:tcPr>
          <w:p>
            <w:pPr>
              <w:jc w:val="center"/>
              <w:ind w:right="20"/>
              <w:spacing w:after="0"/>
              <w:rPr>
                <w:sz w:val="20"/>
                <w:szCs w:val="20"/>
                <w:color w:val="auto"/>
              </w:rPr>
            </w:pPr>
            <w:r>
              <w:rPr>
                <w:rFonts w:ascii="Arial" w:cs="Arial" w:eastAsia="Arial" w:hAnsi="Arial"/>
                <w:sz w:val="10"/>
                <w:szCs w:val="10"/>
                <w:b w:val="1"/>
                <w:bCs w:val="1"/>
                <w:color w:val="05445E"/>
                <w:w w:val="95"/>
              </w:rPr>
              <w:t>Estimated Future Payouts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5"/>
              </w:rPr>
              <w:t>Number</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05445E"/>
                <w:w w:val="97"/>
              </w:rPr>
              <w:t>Grant Date</w:t>
            </w: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05445E"/>
                <w:w w:val="84"/>
              </w:rPr>
              <w:t>of</w:t>
            </w:r>
          </w:p>
        </w:tc>
        <w:tc>
          <w:tcPr>
            <w:tcW w:w="1040" w:type="dxa"/>
            <w:vAlign w:val="bottom"/>
            <w:vMerge w:val="restart"/>
          </w:tcPr>
          <w:p>
            <w:pPr>
              <w:jc w:val="center"/>
              <w:spacing w:after="0"/>
              <w:rPr>
                <w:sz w:val="20"/>
                <w:szCs w:val="20"/>
                <w:color w:val="auto"/>
              </w:rPr>
            </w:pPr>
            <w:r>
              <w:rPr>
                <w:rFonts w:ascii="Arial" w:cs="Arial" w:eastAsia="Arial" w:hAnsi="Arial"/>
                <w:sz w:val="10"/>
                <w:szCs w:val="10"/>
                <w:b w:val="1"/>
                <w:bCs w:val="1"/>
                <w:color w:val="05445E"/>
                <w:w w:val="96"/>
              </w:rPr>
              <w:t>Fair Value</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4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05445E"/>
                <w:w w:val="96"/>
              </w:rPr>
              <w:t>Under Non-Equity Incentive Plan</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4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05445E"/>
                <w:w w:val="96"/>
              </w:rPr>
              <w:t>Under Equity Incentive Plan</w:t>
            </w: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05445E"/>
                <w:w w:val="95"/>
              </w:rPr>
              <w:t>Shares</w:t>
            </w:r>
          </w:p>
        </w:tc>
        <w:tc>
          <w:tcPr>
            <w:tcW w:w="1040" w:type="dxa"/>
            <w:vAlign w:val="bottom"/>
            <w:vMerge w:val="restart"/>
          </w:tcPr>
          <w:p>
            <w:pPr>
              <w:jc w:val="center"/>
              <w:spacing w:after="0"/>
              <w:rPr>
                <w:sz w:val="20"/>
                <w:szCs w:val="20"/>
                <w:color w:val="auto"/>
              </w:rPr>
            </w:pPr>
            <w:r>
              <w:rPr>
                <w:rFonts w:ascii="Arial" w:cs="Arial" w:eastAsia="Arial" w:hAnsi="Arial"/>
                <w:sz w:val="10"/>
                <w:szCs w:val="10"/>
                <w:b w:val="1"/>
                <w:bCs w:val="1"/>
                <w:color w:val="05445E"/>
              </w:rPr>
              <w:t>of</w:t>
            </w:r>
          </w:p>
        </w:tc>
        <w:tc>
          <w:tcPr>
            <w:tcW w:w="0" w:type="dxa"/>
            <w:vAlign w:val="bottom"/>
          </w:tcPr>
          <w:p>
            <w:pPr>
              <w:spacing w:after="0"/>
              <w:rPr>
                <w:sz w:val="1"/>
                <w:szCs w:val="1"/>
                <w:color w:val="auto"/>
              </w:rPr>
            </w:pPr>
          </w:p>
        </w:tc>
      </w:tr>
      <w:tr>
        <w:trPr>
          <w:trHeight w:val="98"/>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tcPr>
          <w:p>
            <w:pPr>
              <w:jc w:val="center"/>
              <w:ind w:right="340"/>
              <w:spacing w:after="0" w:line="99" w:lineRule="exact"/>
              <w:rPr>
                <w:sz w:val="20"/>
                <w:szCs w:val="20"/>
                <w:color w:val="auto"/>
              </w:rPr>
            </w:pPr>
            <w:r>
              <w:rPr>
                <w:rFonts w:ascii="Arial" w:cs="Arial" w:eastAsia="Arial" w:hAnsi="Arial"/>
                <w:sz w:val="9"/>
                <w:szCs w:val="9"/>
                <w:b w:val="1"/>
                <w:bCs w:val="1"/>
                <w:color w:val="05445E"/>
              </w:rPr>
              <w:t>Awards</w:t>
            </w:r>
            <w:r>
              <w:rPr>
                <w:rFonts w:ascii="Arial" w:cs="Arial" w:eastAsia="Arial" w:hAnsi="Arial"/>
                <w:sz w:val="11"/>
                <w:szCs w:val="11"/>
                <w:b w:val="1"/>
                <w:bCs w:val="1"/>
                <w:color w:val="05445E"/>
                <w:vertAlign w:val="superscript"/>
              </w:rPr>
              <w:t>(1)</w:t>
            </w: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3"/>
          </w:tcPr>
          <w:p>
            <w:pPr>
              <w:jc w:val="center"/>
              <w:ind w:right="300"/>
              <w:spacing w:after="0" w:line="99" w:lineRule="exact"/>
              <w:rPr>
                <w:sz w:val="20"/>
                <w:szCs w:val="20"/>
                <w:color w:val="auto"/>
              </w:rPr>
            </w:pPr>
            <w:r>
              <w:rPr>
                <w:rFonts w:ascii="Arial" w:cs="Arial" w:eastAsia="Arial" w:hAnsi="Arial"/>
                <w:sz w:val="9"/>
                <w:szCs w:val="9"/>
                <w:b w:val="1"/>
                <w:bCs w:val="1"/>
                <w:color w:val="05445E"/>
              </w:rPr>
              <w:t>Awards</w:t>
            </w:r>
            <w:r>
              <w:rPr>
                <w:rFonts w:ascii="Arial" w:cs="Arial" w:eastAsia="Arial" w:hAnsi="Arial"/>
                <w:sz w:val="11"/>
                <w:szCs w:val="11"/>
                <w:b w:val="1"/>
                <w:bCs w:val="1"/>
                <w:color w:val="05445E"/>
                <w:vertAlign w:val="superscript"/>
              </w:rPr>
              <w:t>(2)</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tcPr>
          <w:p>
            <w:pPr>
              <w:jc w:val="center"/>
              <w:ind w:right="80"/>
              <w:spacing w:after="0" w:line="46" w:lineRule="exact"/>
              <w:rPr>
                <w:sz w:val="20"/>
                <w:szCs w:val="20"/>
                <w:color w:val="auto"/>
              </w:rPr>
            </w:pPr>
            <w:r>
              <w:rPr>
                <w:rFonts w:ascii="Arial" w:cs="Arial" w:eastAsia="Arial" w:hAnsi="Arial"/>
                <w:sz w:val="5"/>
                <w:szCs w:val="5"/>
                <w:b w:val="1"/>
                <w:bCs w:val="1"/>
                <w:color w:val="05445E"/>
              </w:rPr>
              <w:t>of Stock</w:t>
            </w:r>
          </w:p>
        </w:tc>
        <w:tc>
          <w:tcPr>
            <w:tcW w:w="1040" w:type="dxa"/>
            <w:vAlign w:val="bottom"/>
          </w:tcPr>
          <w:p>
            <w:pPr>
              <w:jc w:val="center"/>
              <w:spacing w:after="0" w:line="46" w:lineRule="exact"/>
              <w:rPr>
                <w:sz w:val="20"/>
                <w:szCs w:val="20"/>
                <w:color w:val="auto"/>
              </w:rPr>
            </w:pPr>
            <w:r>
              <w:rPr>
                <w:rFonts w:ascii="Arial" w:cs="Arial" w:eastAsia="Arial" w:hAnsi="Arial"/>
                <w:sz w:val="5"/>
                <w:szCs w:val="5"/>
                <w:b w:val="1"/>
                <w:bCs w:val="1"/>
                <w:color w:val="05445E"/>
              </w:rPr>
              <w:t>Stock</w:t>
            </w:r>
          </w:p>
        </w:tc>
        <w:tc>
          <w:tcPr>
            <w:tcW w:w="0" w:type="dxa"/>
            <w:vAlign w:val="bottom"/>
          </w:tcPr>
          <w:p>
            <w:pPr>
              <w:spacing w:after="0"/>
              <w:rPr>
                <w:sz w:val="1"/>
                <w:szCs w:val="1"/>
                <w:color w:val="auto"/>
              </w:rPr>
            </w:pPr>
          </w:p>
        </w:tc>
      </w:tr>
      <w:tr>
        <w:trPr>
          <w:trHeight w:val="115"/>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05445E"/>
                <w:w w:val="89"/>
              </w:rPr>
              <w:t>Grant</w:t>
            </w:r>
          </w:p>
        </w:tc>
        <w:tc>
          <w:tcPr>
            <w:tcW w:w="80" w:type="dxa"/>
            <w:vAlign w:val="bottom"/>
          </w:tcPr>
          <w:p>
            <w:pPr>
              <w:spacing w:after="0"/>
              <w:rPr>
                <w:sz w:val="10"/>
                <w:szCs w:val="10"/>
                <w:color w:val="auto"/>
              </w:rPr>
            </w:pPr>
          </w:p>
        </w:tc>
        <w:tc>
          <w:tcPr>
            <w:tcW w:w="740" w:type="dxa"/>
            <w:vAlign w:val="bottom"/>
          </w:tcPr>
          <w:p>
            <w:pPr>
              <w:ind w:left="260"/>
              <w:spacing w:after="0"/>
              <w:rPr>
                <w:sz w:val="20"/>
                <w:szCs w:val="20"/>
                <w:color w:val="auto"/>
              </w:rPr>
            </w:pPr>
            <w:r>
              <w:rPr>
                <w:rFonts w:ascii="Arial" w:cs="Arial" w:eastAsia="Arial" w:hAnsi="Arial"/>
                <w:sz w:val="10"/>
                <w:szCs w:val="10"/>
                <w:b w:val="1"/>
                <w:bCs w:val="1"/>
                <w:color w:val="05445E"/>
                <w:w w:val="95"/>
              </w:rPr>
              <w:t>Threshold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ind w:left="300"/>
              <w:spacing w:after="0"/>
              <w:rPr>
                <w:sz w:val="20"/>
                <w:szCs w:val="20"/>
                <w:color w:val="auto"/>
              </w:rPr>
            </w:pPr>
            <w:r>
              <w:rPr>
                <w:rFonts w:ascii="Arial" w:cs="Arial" w:eastAsia="Arial" w:hAnsi="Arial"/>
                <w:sz w:val="10"/>
                <w:szCs w:val="10"/>
                <w:b w:val="1"/>
                <w:bCs w:val="1"/>
                <w:color w:val="05445E"/>
              </w:rPr>
              <w:t>Target</w:t>
            </w: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05445E"/>
              </w:rPr>
              <w:t>Maximum</w:t>
            </w:r>
          </w:p>
        </w:tc>
        <w:tc>
          <w:tcPr>
            <w:tcW w:w="800" w:type="dxa"/>
            <w:vAlign w:val="bottom"/>
          </w:tcPr>
          <w:p>
            <w:pPr>
              <w:ind w:left="260"/>
              <w:spacing w:after="0"/>
              <w:rPr>
                <w:sz w:val="20"/>
                <w:szCs w:val="20"/>
                <w:color w:val="auto"/>
              </w:rPr>
            </w:pPr>
            <w:r>
              <w:rPr>
                <w:rFonts w:ascii="Arial" w:cs="Arial" w:eastAsia="Arial" w:hAnsi="Arial"/>
                <w:sz w:val="10"/>
                <w:szCs w:val="10"/>
                <w:b w:val="1"/>
                <w:bCs w:val="1"/>
                <w:color w:val="05445E"/>
              </w:rPr>
              <w:t>Threshold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ind w:left="300"/>
              <w:spacing w:after="0"/>
              <w:rPr>
                <w:sz w:val="20"/>
                <w:szCs w:val="20"/>
                <w:color w:val="auto"/>
              </w:rPr>
            </w:pPr>
            <w:r>
              <w:rPr>
                <w:rFonts w:ascii="Arial" w:cs="Arial" w:eastAsia="Arial" w:hAnsi="Arial"/>
                <w:sz w:val="10"/>
                <w:szCs w:val="10"/>
                <w:b w:val="1"/>
                <w:bCs w:val="1"/>
                <w:color w:val="05445E"/>
              </w:rPr>
              <w:t>Target</w:t>
            </w:r>
          </w:p>
        </w:tc>
        <w:tc>
          <w:tcPr>
            <w:tcW w:w="800" w:type="dxa"/>
            <w:vAlign w:val="bottom"/>
          </w:tcPr>
          <w:p>
            <w:pPr>
              <w:ind w:left="80"/>
              <w:spacing w:after="0"/>
              <w:rPr>
                <w:sz w:val="20"/>
                <w:szCs w:val="20"/>
                <w:color w:val="auto"/>
              </w:rPr>
            </w:pPr>
            <w:r>
              <w:rPr>
                <w:rFonts w:ascii="Arial" w:cs="Arial" w:eastAsia="Arial" w:hAnsi="Arial"/>
                <w:sz w:val="10"/>
                <w:szCs w:val="10"/>
                <w:b w:val="1"/>
                <w:bCs w:val="1"/>
                <w:color w:val="05445E"/>
              </w:rPr>
              <w:t>Maximum</w:t>
            </w:r>
          </w:p>
        </w:tc>
        <w:tc>
          <w:tcPr>
            <w:tcW w:w="8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5"/>
              </w:rPr>
              <w:t>or Units</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05445E"/>
                <w:w w:val="93"/>
              </w:rPr>
              <w:t>Awards</w:t>
            </w:r>
          </w:p>
        </w:tc>
        <w:tc>
          <w:tcPr>
            <w:tcW w:w="0" w:type="dxa"/>
            <w:vAlign w:val="bottom"/>
          </w:tcPr>
          <w:p>
            <w:pPr>
              <w:spacing w:after="0"/>
              <w:rPr>
                <w:sz w:val="1"/>
                <w:szCs w:val="1"/>
                <w:color w:val="auto"/>
              </w:rPr>
            </w:pPr>
          </w:p>
        </w:tc>
      </w:tr>
      <w:tr>
        <w:trPr>
          <w:trHeight w:val="143"/>
        </w:trPr>
        <w:tc>
          <w:tcPr>
            <w:tcW w:w="1780" w:type="dxa"/>
            <w:vAlign w:val="bottom"/>
          </w:tcPr>
          <w:p>
            <w:pPr>
              <w:spacing w:after="0"/>
              <w:rPr>
                <w:sz w:val="20"/>
                <w:szCs w:val="20"/>
                <w:color w:val="auto"/>
              </w:rPr>
            </w:pPr>
            <w:r>
              <w:rPr>
                <w:rFonts w:ascii="Arial" w:cs="Arial" w:eastAsia="Arial" w:hAnsi="Arial"/>
                <w:sz w:val="10"/>
                <w:szCs w:val="10"/>
                <w:b w:val="1"/>
                <w:bCs w:val="1"/>
                <w:color w:val="05445E"/>
              </w:rPr>
              <w:t>Name</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05445E"/>
                <w:w w:val="92"/>
              </w:rPr>
              <w:t>Date</w:t>
            </w:r>
          </w:p>
        </w:tc>
        <w:tc>
          <w:tcPr>
            <w:tcW w:w="820" w:type="dxa"/>
            <w:vAlign w:val="bottom"/>
            <w:gridSpan w:val="2"/>
          </w:tcPr>
          <w:p>
            <w:pPr>
              <w:jc w:val="center"/>
              <w:ind w:left="292"/>
              <w:spacing w:after="0"/>
              <w:rPr>
                <w:sz w:val="20"/>
                <w:szCs w:val="20"/>
                <w:color w:val="auto"/>
              </w:rPr>
            </w:pPr>
            <w:r>
              <w:rPr>
                <w:rFonts w:ascii="Arial" w:cs="Arial" w:eastAsia="Arial" w:hAnsi="Arial"/>
                <w:sz w:val="10"/>
                <w:szCs w:val="10"/>
                <w:b w:val="1"/>
                <w:bCs w:val="1"/>
                <w:color w:val="05445E"/>
                <w:w w:val="97"/>
              </w:rPr>
              <w:t>($)</w:t>
            </w:r>
          </w:p>
        </w:tc>
        <w:tc>
          <w:tcPr>
            <w:tcW w:w="1240" w:type="dxa"/>
            <w:vAlign w:val="bottom"/>
            <w:gridSpan w:val="3"/>
          </w:tcPr>
          <w:p>
            <w:pPr>
              <w:jc w:val="center"/>
              <w:ind w:left="272"/>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Pr>
          <w:p>
            <w:pPr>
              <w:spacing w:after="0"/>
              <w:rPr>
                <w:sz w:val="12"/>
                <w:szCs w:val="12"/>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b w:val="1"/>
                <w:bCs w:val="1"/>
                <w:color w:val="05445E"/>
                <w:w w:val="97"/>
              </w:rPr>
              <w:t>(#)</w:t>
            </w:r>
          </w:p>
        </w:tc>
        <w:tc>
          <w:tcPr>
            <w:tcW w:w="1180" w:type="dxa"/>
            <w:vAlign w:val="bottom"/>
            <w:gridSpan w:val="3"/>
          </w:tcPr>
          <w:p>
            <w:pPr>
              <w:jc w:val="center"/>
              <w:ind w:left="232"/>
              <w:spacing w:after="0"/>
              <w:rPr>
                <w:sz w:val="20"/>
                <w:szCs w:val="20"/>
                <w:color w:val="auto"/>
              </w:rPr>
            </w:pPr>
            <w:r>
              <w:rPr>
                <w:rFonts w:ascii="Arial" w:cs="Arial" w:eastAsia="Arial" w:hAnsi="Arial"/>
                <w:sz w:val="10"/>
                <w:szCs w:val="10"/>
                <w:b w:val="1"/>
                <w:bCs w:val="1"/>
                <w:color w:val="05445E"/>
                <w:w w:val="81"/>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52"/>
              <w:spacing w:after="0"/>
              <w:rPr>
                <w:sz w:val="20"/>
                <w:szCs w:val="20"/>
                <w:color w:val="auto"/>
              </w:rPr>
            </w:pPr>
            <w:r>
              <w:rPr>
                <w:rFonts w:ascii="Arial" w:cs="Arial" w:eastAsia="Arial" w:hAnsi="Arial"/>
                <w:sz w:val="10"/>
                <w:szCs w:val="10"/>
                <w:b w:val="1"/>
                <w:bCs w:val="1"/>
                <w:color w:val="05445E"/>
                <w:w w:val="97"/>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b w:val="1"/>
                <w:bCs w:val="1"/>
                <w:color w:val="05445E"/>
                <w:w w:val="90"/>
              </w:rPr>
              <w:t>(#)</w:t>
            </w:r>
            <w:r>
              <w:rPr>
                <w:rFonts w:ascii="Arial" w:cs="Arial" w:eastAsia="Arial" w:hAnsi="Arial"/>
                <w:sz w:val="12"/>
                <w:szCs w:val="12"/>
                <w:b w:val="1"/>
                <w:bCs w:val="1"/>
                <w:color w:val="05445E"/>
                <w:w w:val="90"/>
                <w:vertAlign w:val="superscript"/>
              </w:rPr>
              <w:t>(3)</w:t>
            </w:r>
          </w:p>
        </w:tc>
        <w:tc>
          <w:tcPr>
            <w:tcW w:w="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05445E"/>
                <w:w w:val="90"/>
              </w:rPr>
              <w:t>($)</w:t>
            </w:r>
            <w:r>
              <w:rPr>
                <w:rFonts w:ascii="Arial" w:cs="Arial" w:eastAsia="Arial" w:hAnsi="Arial"/>
                <w:sz w:val="12"/>
                <w:szCs w:val="12"/>
                <w:b w:val="1"/>
                <w:bCs w:val="1"/>
                <w:color w:val="05445E"/>
                <w:w w:val="90"/>
                <w:vertAlign w:val="superscript"/>
              </w:rPr>
              <w:t>(4)</w:t>
            </w:r>
          </w:p>
        </w:tc>
        <w:tc>
          <w:tcPr>
            <w:tcW w:w="0" w:type="dxa"/>
            <w:vAlign w:val="bottom"/>
          </w:tcPr>
          <w:p>
            <w:pPr>
              <w:spacing w:after="0"/>
              <w:rPr>
                <w:sz w:val="1"/>
                <w:szCs w:val="1"/>
                <w:color w:val="auto"/>
              </w:rPr>
            </w:pPr>
          </w:p>
        </w:tc>
      </w:tr>
      <w:tr>
        <w:trPr>
          <w:trHeight w:val="119"/>
        </w:trPr>
        <w:tc>
          <w:tcPr>
            <w:tcW w:w="1780" w:type="dxa"/>
            <w:vAlign w:val="bottom"/>
            <w:tcBorders>
              <w:top w:val="single" w:sz="8" w:color="929292"/>
            </w:tcBorders>
            <w:shd w:val="clear" w:color="auto" w:fill="DBDBDB"/>
          </w:tcPr>
          <w:p>
            <w:pPr>
              <w:spacing w:after="0"/>
              <w:rPr>
                <w:sz w:val="20"/>
                <w:szCs w:val="20"/>
                <w:color w:val="auto"/>
              </w:rPr>
            </w:pPr>
            <w:r>
              <w:rPr>
                <w:rFonts w:ascii="Arial" w:cs="Arial" w:eastAsia="Arial" w:hAnsi="Arial"/>
                <w:sz w:val="10"/>
                <w:szCs w:val="10"/>
                <w:color w:val="auto"/>
              </w:rPr>
              <w:t>Brent C.</w:t>
            </w:r>
          </w:p>
        </w:tc>
        <w:tc>
          <w:tcPr>
            <w:tcW w:w="80" w:type="dxa"/>
            <w:vAlign w:val="bottom"/>
            <w:tcBorders>
              <w:top w:val="single" w:sz="8" w:color="DBDBDB"/>
            </w:tcBorders>
            <w:shd w:val="clear" w:color="auto" w:fill="DBDBDB"/>
          </w:tcPr>
          <w:p>
            <w:pPr>
              <w:spacing w:after="0"/>
              <w:rPr>
                <w:sz w:val="10"/>
                <w:szCs w:val="10"/>
                <w:color w:val="auto"/>
              </w:rPr>
            </w:pPr>
          </w:p>
        </w:tc>
        <w:tc>
          <w:tcPr>
            <w:tcW w:w="108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740" w:type="dxa"/>
            <w:vAlign w:val="bottom"/>
            <w:tcBorders>
              <w:top w:val="single" w:sz="8" w:color="929292"/>
            </w:tcBorders>
            <w:shd w:val="clear" w:color="auto" w:fill="DBDBDB"/>
          </w:tcPr>
          <w:p>
            <w:pPr>
              <w:spacing w:after="0"/>
              <w:rPr>
                <w:sz w:val="10"/>
                <w:szCs w:val="10"/>
                <w:color w:val="auto"/>
              </w:rPr>
            </w:pPr>
          </w:p>
        </w:tc>
        <w:tc>
          <w:tcPr>
            <w:tcW w:w="26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20" w:type="dxa"/>
            <w:vAlign w:val="bottom"/>
            <w:tcBorders>
              <w:top w:val="single" w:sz="8" w:color="929292"/>
            </w:tcBorders>
            <w:shd w:val="clear" w:color="auto" w:fill="DBDBDB"/>
          </w:tcPr>
          <w:p>
            <w:pPr>
              <w:spacing w:after="0"/>
              <w:rPr>
                <w:sz w:val="10"/>
                <w:szCs w:val="10"/>
                <w:color w:val="auto"/>
              </w:rPr>
            </w:pPr>
          </w:p>
        </w:tc>
        <w:tc>
          <w:tcPr>
            <w:tcW w:w="74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00" w:type="dxa"/>
            <w:vAlign w:val="bottom"/>
            <w:tcBorders>
              <w:top w:val="single" w:sz="8" w:color="929292"/>
            </w:tcBorders>
            <w:shd w:val="clear" w:color="auto" w:fill="DBDBDB"/>
          </w:tcPr>
          <w:p>
            <w:pPr>
              <w:spacing w:after="0"/>
              <w:rPr>
                <w:sz w:val="10"/>
                <w:szCs w:val="10"/>
                <w:color w:val="auto"/>
              </w:rPr>
            </w:pPr>
          </w:p>
        </w:tc>
        <w:tc>
          <w:tcPr>
            <w:tcW w:w="2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80" w:type="dxa"/>
            <w:vAlign w:val="bottom"/>
            <w:tcBorders>
              <w:top w:val="single" w:sz="8" w:color="929292"/>
            </w:tcBorders>
            <w:shd w:val="clear" w:color="auto" w:fill="DBDBDB"/>
          </w:tcPr>
          <w:p>
            <w:pPr>
              <w:spacing w:after="0"/>
              <w:rPr>
                <w:sz w:val="10"/>
                <w:szCs w:val="10"/>
                <w:color w:val="auto"/>
              </w:rPr>
            </w:pPr>
          </w:p>
        </w:tc>
        <w:tc>
          <w:tcPr>
            <w:tcW w:w="80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40" w:type="dxa"/>
            <w:vAlign w:val="bottom"/>
            <w:tcBorders>
              <w:top w:val="single" w:sz="8" w:color="929292"/>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040" w:type="dxa"/>
            <w:vAlign w:val="bottom"/>
            <w:tcBorders>
              <w:top w:val="single" w:sz="8" w:color="929292"/>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80" w:type="dxa"/>
            <w:vAlign w:val="bottom"/>
            <w:shd w:val="clear" w:color="auto" w:fill="DBDBDB"/>
          </w:tcPr>
          <w:p>
            <w:pPr>
              <w:spacing w:after="0"/>
              <w:rPr>
                <w:sz w:val="20"/>
                <w:szCs w:val="20"/>
                <w:color w:val="auto"/>
              </w:rPr>
            </w:pPr>
            <w:r>
              <w:rPr>
                <w:rFonts w:ascii="Arial" w:cs="Arial" w:eastAsia="Arial" w:hAnsi="Arial"/>
                <w:sz w:val="10"/>
                <w:szCs w:val="10"/>
                <w:color w:val="auto"/>
              </w:rPr>
              <w:t>Jewell</w:t>
            </w:r>
          </w:p>
        </w:tc>
        <w:tc>
          <w:tcPr>
            <w:tcW w:w="8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Fiscal 2026 short-term cash incentive</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shd w:val="clear" w:color="auto" w:fill="DBDBDB"/>
          </w:tcPr>
          <w:p>
            <w:pPr>
              <w:jc w:val="center"/>
              <w:ind w:left="272"/>
              <w:spacing w:after="0"/>
              <w:rPr>
                <w:sz w:val="20"/>
                <w:szCs w:val="20"/>
                <w:color w:val="auto"/>
              </w:rPr>
            </w:pPr>
            <w:r>
              <w:rPr>
                <w:rFonts w:ascii="Arial" w:cs="Arial" w:eastAsia="Arial" w:hAnsi="Arial"/>
                <w:sz w:val="10"/>
                <w:szCs w:val="10"/>
                <w:color w:val="auto"/>
                <w:w w:val="97"/>
              </w:rPr>
              <w:t>20,835</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277,800</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9"/>
              </w:rPr>
              <w:t>555,600</w:t>
            </w:r>
          </w:p>
        </w:tc>
        <w:tc>
          <w:tcPr>
            <w:tcW w:w="80" w:type="dxa"/>
            <w:vAlign w:val="bottom"/>
            <w:shd w:val="clear" w:color="auto" w:fill="DBDBDB"/>
          </w:tcPr>
          <w:p>
            <w:pPr>
              <w:spacing w:after="0"/>
              <w:rPr>
                <w:sz w:val="13"/>
                <w:szCs w:val="13"/>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LTIP Fiscal 2026 restricted stock</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5"/>
              </w:rPr>
              <w:t>6,091</w:t>
            </w:r>
          </w:p>
        </w:tc>
        <w:tc>
          <w:tcPr>
            <w:tcW w:w="80" w:type="dxa"/>
            <w:vAlign w:val="bottom"/>
            <w:shd w:val="clear" w:color="auto" w:fill="DBDBDB"/>
          </w:tcPr>
          <w:p>
            <w:pPr>
              <w:spacing w:after="0"/>
              <w:rPr>
                <w:sz w:val="13"/>
                <w:szCs w:val="13"/>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277,811</w:t>
            </w:r>
          </w:p>
        </w:tc>
        <w:tc>
          <w:tcPr>
            <w:tcW w:w="0" w:type="dxa"/>
            <w:vAlign w:val="bottom"/>
          </w:tcPr>
          <w:p>
            <w:pPr>
              <w:spacing w:after="0"/>
              <w:rPr>
                <w:sz w:val="1"/>
                <w:szCs w:val="1"/>
                <w:color w:val="auto"/>
              </w:rPr>
            </w:pPr>
          </w:p>
        </w:tc>
      </w:tr>
      <w:tr>
        <w:trPr>
          <w:trHeight w:val="145"/>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LTIP Fiscal 2026 - 2028 performance</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7"/>
              </w:rPr>
              <w:t>69,450</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138,900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9"/>
              </w:rPr>
              <w:t>277,800</w:t>
            </w: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95"/>
              </w:rPr>
              <w:t>1,523</w:t>
            </w:r>
          </w:p>
        </w:tc>
        <w:tc>
          <w:tcPr>
            <w:tcW w:w="1180" w:type="dxa"/>
            <w:vAlign w:val="bottom"/>
            <w:gridSpan w:val="3"/>
            <w:shd w:val="clear" w:color="auto" w:fill="DBDBDB"/>
          </w:tcPr>
          <w:p>
            <w:pPr>
              <w:jc w:val="center"/>
              <w:ind w:left="252"/>
              <w:spacing w:after="0"/>
              <w:rPr>
                <w:sz w:val="20"/>
                <w:szCs w:val="20"/>
                <w:color w:val="auto"/>
              </w:rPr>
            </w:pPr>
            <w:r>
              <w:rPr>
                <w:rFonts w:ascii="Arial" w:cs="Arial" w:eastAsia="Arial" w:hAnsi="Arial"/>
                <w:sz w:val="10"/>
                <w:szCs w:val="10"/>
                <w:color w:val="auto"/>
                <w:w w:val="95"/>
              </w:rPr>
              <w:t>3,045</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right="152"/>
              <w:spacing w:after="0"/>
              <w:rPr>
                <w:sz w:val="20"/>
                <w:szCs w:val="20"/>
                <w:color w:val="auto"/>
              </w:rPr>
            </w:pPr>
            <w:r>
              <w:rPr>
                <w:rFonts w:ascii="Arial" w:cs="Arial" w:eastAsia="Arial" w:hAnsi="Arial"/>
                <w:sz w:val="10"/>
                <w:szCs w:val="10"/>
                <w:color w:val="auto"/>
                <w:w w:val="95"/>
              </w:rPr>
              <w:t>6,090</w:t>
            </w:r>
          </w:p>
        </w:tc>
        <w:tc>
          <w:tcPr>
            <w:tcW w:w="8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138,882</w:t>
            </w:r>
          </w:p>
        </w:tc>
        <w:tc>
          <w:tcPr>
            <w:tcW w:w="0" w:type="dxa"/>
            <w:vAlign w:val="bottom"/>
          </w:tcPr>
          <w:p>
            <w:pPr>
              <w:spacing w:after="0"/>
              <w:rPr>
                <w:sz w:val="1"/>
                <w:szCs w:val="1"/>
                <w:color w:val="auto"/>
              </w:rPr>
            </w:pPr>
          </w:p>
        </w:tc>
      </w:tr>
      <w:tr>
        <w:trPr>
          <w:trHeight w:val="125"/>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award</w:t>
            </w:r>
          </w:p>
        </w:tc>
        <w:tc>
          <w:tcPr>
            <w:tcW w:w="8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Restricted stock retention</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1/14/2026</w:t>
            </w:r>
          </w:p>
        </w:tc>
        <w:tc>
          <w:tcPr>
            <w:tcW w:w="80" w:type="dxa"/>
            <w:vAlign w:val="bottom"/>
            <w:shd w:val="clear" w:color="auto" w:fill="DBDBDB"/>
          </w:tcPr>
          <w:p>
            <w:pPr>
              <w:spacing w:after="0"/>
              <w:rPr>
                <w:sz w:val="14"/>
                <w:szCs w:val="14"/>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1"/>
              </w:rPr>
              <w:t>16,882</w:t>
            </w:r>
          </w:p>
        </w:tc>
        <w:tc>
          <w:tcPr>
            <w:tcW w:w="80" w:type="dxa"/>
            <w:vAlign w:val="bottom"/>
            <w:shd w:val="clear" w:color="auto" w:fill="DBDBDB"/>
          </w:tcPr>
          <w:p>
            <w:pPr>
              <w:spacing w:after="0"/>
              <w:rPr>
                <w:sz w:val="14"/>
                <w:szCs w:val="14"/>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599,986</w:t>
            </w:r>
          </w:p>
        </w:tc>
        <w:tc>
          <w:tcPr>
            <w:tcW w:w="0" w:type="dxa"/>
            <w:vAlign w:val="bottom"/>
          </w:tcPr>
          <w:p>
            <w:pPr>
              <w:spacing w:after="0"/>
              <w:rPr>
                <w:sz w:val="1"/>
                <w:szCs w:val="1"/>
                <w:color w:val="auto"/>
              </w:rPr>
            </w:pPr>
          </w:p>
        </w:tc>
      </w:tr>
      <w:tr>
        <w:trPr>
          <w:trHeight w:val="127"/>
        </w:trPr>
        <w:tc>
          <w:tcPr>
            <w:tcW w:w="1780" w:type="dxa"/>
            <w:vAlign w:val="bottom"/>
          </w:tcPr>
          <w:p>
            <w:pPr>
              <w:spacing w:after="0"/>
              <w:rPr>
                <w:sz w:val="20"/>
                <w:szCs w:val="20"/>
                <w:color w:val="auto"/>
              </w:rPr>
            </w:pPr>
            <w:r>
              <w:rPr>
                <w:rFonts w:ascii="Arial" w:cs="Arial" w:eastAsia="Arial" w:hAnsi="Arial"/>
                <w:sz w:val="10"/>
                <w:szCs w:val="10"/>
                <w:color w:val="auto"/>
              </w:rPr>
              <w:t>Ty R.</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80" w:type="dxa"/>
            <w:vAlign w:val="bottom"/>
          </w:tcPr>
          <w:p>
            <w:pPr>
              <w:spacing w:after="0"/>
              <w:rPr>
                <w:sz w:val="20"/>
                <w:szCs w:val="20"/>
                <w:color w:val="auto"/>
              </w:rPr>
            </w:pPr>
            <w:r>
              <w:rPr>
                <w:rFonts w:ascii="Arial" w:cs="Arial" w:eastAsia="Arial" w:hAnsi="Arial"/>
                <w:sz w:val="10"/>
                <w:szCs w:val="10"/>
                <w:color w:val="auto"/>
              </w:rPr>
              <w:t>Silberhorn</w:t>
            </w:r>
            <w:r>
              <w:rPr>
                <w:rFonts w:ascii="Arial" w:cs="Arial" w:eastAsia="Arial" w:hAnsi="Arial"/>
                <w:sz w:val="12"/>
                <w:szCs w:val="12"/>
                <w:color w:val="auto"/>
                <w:vertAlign w:val="superscript"/>
              </w:rPr>
              <w:t>(6)</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780" w:type="dxa"/>
            <w:vAlign w:val="bottom"/>
          </w:tcPr>
          <w:p>
            <w:pPr>
              <w:ind w:left="60"/>
              <w:spacing w:after="0"/>
              <w:rPr>
                <w:sz w:val="20"/>
                <w:szCs w:val="20"/>
                <w:color w:val="auto"/>
              </w:rPr>
            </w:pPr>
            <w:r>
              <w:rPr>
                <w:rFonts w:ascii="Arial" w:cs="Arial" w:eastAsia="Arial" w:hAnsi="Arial"/>
                <w:sz w:val="10"/>
                <w:szCs w:val="10"/>
                <w:color w:val="auto"/>
              </w:rPr>
              <w:t>Fiscal 2026 short-term cash incentive</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tcPr>
          <w:p>
            <w:pPr>
              <w:jc w:val="center"/>
              <w:ind w:left="272"/>
              <w:spacing w:after="0"/>
              <w:rPr>
                <w:sz w:val="20"/>
                <w:szCs w:val="20"/>
                <w:color w:val="auto"/>
              </w:rPr>
            </w:pPr>
            <w:r>
              <w:rPr>
                <w:rFonts w:ascii="Arial" w:cs="Arial" w:eastAsia="Arial" w:hAnsi="Arial"/>
                <w:sz w:val="10"/>
                <w:szCs w:val="10"/>
                <w:color w:val="auto"/>
                <w:w w:val="93"/>
              </w:rPr>
              <w:t>116,500</w:t>
            </w:r>
          </w:p>
        </w:tc>
        <w:tc>
          <w:tcPr>
            <w:tcW w:w="1240" w:type="dxa"/>
            <w:vAlign w:val="bottom"/>
            <w:gridSpan w:val="3"/>
          </w:tcPr>
          <w:p>
            <w:pPr>
              <w:jc w:val="center"/>
              <w:ind w:left="292"/>
              <w:spacing w:after="0"/>
              <w:rPr>
                <w:sz w:val="20"/>
                <w:szCs w:val="20"/>
                <w:color w:val="auto"/>
              </w:rPr>
            </w:pPr>
            <w:r>
              <w:rPr>
                <w:rFonts w:ascii="Arial" w:cs="Arial" w:eastAsia="Arial" w:hAnsi="Arial"/>
                <w:sz w:val="10"/>
                <w:szCs w:val="10"/>
                <w:color w:val="auto"/>
                <w:w w:val="93"/>
              </w:rPr>
              <w:t>932,000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color w:val="auto"/>
                <w:w w:val="98"/>
              </w:rPr>
              <w:t>1,864,000</w:t>
            </w:r>
          </w:p>
        </w:tc>
        <w:tc>
          <w:tcPr>
            <w:tcW w:w="80" w:type="dxa"/>
            <w:vAlign w:val="bottom"/>
          </w:tcPr>
          <w:p>
            <w:pPr>
              <w:spacing w:after="0"/>
              <w:rPr>
                <w:sz w:val="10"/>
                <w:szCs w:val="10"/>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0"/>
                <w:szCs w:val="10"/>
                <w:color w:val="auto"/>
              </w:rPr>
              <w:t>LTIP Fiscal 2026 restricted stock</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0" w:type="dxa"/>
            <w:vAlign w:val="bottom"/>
          </w:tcPr>
          <w:p>
            <w:pPr>
              <w:spacing w:after="0"/>
              <w:rPr>
                <w:sz w:val="13"/>
                <w:szCs w:val="13"/>
                <w:color w:val="auto"/>
              </w:rPr>
            </w:pPr>
          </w:p>
        </w:tc>
        <w:tc>
          <w:tcPr>
            <w:tcW w:w="740" w:type="dxa"/>
            <w:vAlign w:val="bottom"/>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tcPr>
          <w:p>
            <w:pPr>
              <w:jc w:val="center"/>
              <w:ind w:left="12"/>
              <w:spacing w:after="0"/>
              <w:rPr>
                <w:sz w:val="20"/>
                <w:szCs w:val="20"/>
                <w:color w:val="auto"/>
              </w:rPr>
            </w:pPr>
            <w:r>
              <w:rPr>
                <w:rFonts w:ascii="Arial" w:cs="Arial" w:eastAsia="Arial" w:hAnsi="Arial"/>
                <w:sz w:val="10"/>
                <w:szCs w:val="10"/>
                <w:color w:val="auto"/>
                <w:w w:val="91"/>
              </w:rPr>
              <w:t>28,608</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4"/>
              </w:rPr>
              <w:t>1,304,811</w:t>
            </w:r>
          </w:p>
        </w:tc>
        <w:tc>
          <w:tcPr>
            <w:tcW w:w="0" w:type="dxa"/>
            <w:vAlign w:val="bottom"/>
          </w:tcPr>
          <w:p>
            <w:pPr>
              <w:spacing w:after="0"/>
              <w:rPr>
                <w:sz w:val="1"/>
                <w:szCs w:val="1"/>
                <w:color w:val="auto"/>
              </w:rPr>
            </w:pPr>
          </w:p>
        </w:tc>
      </w:tr>
      <w:tr>
        <w:trPr>
          <w:trHeight w:val="145"/>
        </w:trPr>
        <w:tc>
          <w:tcPr>
            <w:tcW w:w="1780" w:type="dxa"/>
            <w:vAlign w:val="bottom"/>
          </w:tcPr>
          <w:p>
            <w:pPr>
              <w:ind w:left="60"/>
              <w:spacing w:after="0"/>
              <w:rPr>
                <w:sz w:val="20"/>
                <w:szCs w:val="20"/>
                <w:color w:val="auto"/>
              </w:rPr>
            </w:pPr>
            <w:r>
              <w:rPr>
                <w:rFonts w:ascii="Arial" w:cs="Arial" w:eastAsia="Arial" w:hAnsi="Arial"/>
                <w:sz w:val="10"/>
                <w:szCs w:val="10"/>
                <w:color w:val="auto"/>
              </w:rPr>
              <w:t>LTIP Fiscal 2026 - 2028 performance</w:t>
            </w:r>
          </w:p>
        </w:tc>
        <w:tc>
          <w:tcPr>
            <w:tcW w:w="1160" w:type="dxa"/>
            <w:vAlign w:val="bottom"/>
            <w:gridSpan w:val="2"/>
          </w:tcPr>
          <w:p>
            <w:pPr>
              <w:jc w:val="center"/>
              <w:ind w:left="32"/>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tcPr>
          <w:p>
            <w:pPr>
              <w:jc w:val="center"/>
              <w:ind w:left="272"/>
              <w:spacing w:after="0"/>
              <w:rPr>
                <w:sz w:val="20"/>
                <w:szCs w:val="20"/>
                <w:color w:val="auto"/>
              </w:rPr>
            </w:pPr>
            <w:r>
              <w:rPr>
                <w:rFonts w:ascii="Arial" w:cs="Arial" w:eastAsia="Arial" w:hAnsi="Arial"/>
                <w:sz w:val="10"/>
                <w:szCs w:val="10"/>
                <w:color w:val="auto"/>
                <w:w w:val="93"/>
              </w:rPr>
              <w:t>489,300</w:t>
            </w:r>
          </w:p>
        </w:tc>
        <w:tc>
          <w:tcPr>
            <w:tcW w:w="1240" w:type="dxa"/>
            <w:vAlign w:val="bottom"/>
            <w:gridSpan w:val="3"/>
          </w:tcPr>
          <w:p>
            <w:pPr>
              <w:jc w:val="center"/>
              <w:ind w:left="292"/>
              <w:spacing w:after="0"/>
              <w:rPr>
                <w:sz w:val="20"/>
                <w:szCs w:val="20"/>
                <w:color w:val="auto"/>
              </w:rPr>
            </w:pPr>
            <w:r>
              <w:rPr>
                <w:rFonts w:ascii="Arial" w:cs="Arial" w:eastAsia="Arial" w:hAnsi="Arial"/>
                <w:sz w:val="10"/>
                <w:szCs w:val="10"/>
                <w:color w:val="auto"/>
                <w:w w:val="93"/>
              </w:rPr>
              <w:t>978,600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72"/>
              <w:spacing w:after="0"/>
              <w:rPr>
                <w:sz w:val="20"/>
                <w:szCs w:val="20"/>
                <w:color w:val="auto"/>
              </w:rPr>
            </w:pPr>
            <w:r>
              <w:rPr>
                <w:rFonts w:ascii="Arial" w:cs="Arial" w:eastAsia="Arial" w:hAnsi="Arial"/>
                <w:sz w:val="10"/>
                <w:szCs w:val="10"/>
                <w:color w:val="auto"/>
                <w:w w:val="98"/>
              </w:rPr>
              <w:t>1,957,200</w:t>
            </w:r>
          </w:p>
        </w:tc>
        <w:tc>
          <w:tcPr>
            <w:tcW w:w="80" w:type="dxa"/>
            <w:vAlign w:val="bottom"/>
          </w:tcPr>
          <w:p>
            <w:pPr>
              <w:spacing w:after="0"/>
              <w:rPr>
                <w:sz w:val="12"/>
                <w:szCs w:val="12"/>
                <w:color w:val="auto"/>
              </w:rPr>
            </w:pPr>
          </w:p>
        </w:tc>
        <w:tc>
          <w:tcPr>
            <w:tcW w:w="800" w:type="dxa"/>
            <w:vAlign w:val="bottom"/>
          </w:tcPr>
          <w:p>
            <w:pPr>
              <w:jc w:val="center"/>
              <w:ind w:left="152"/>
              <w:spacing w:after="0"/>
              <w:rPr>
                <w:sz w:val="20"/>
                <w:szCs w:val="20"/>
                <w:color w:val="auto"/>
              </w:rPr>
            </w:pPr>
            <w:r>
              <w:rPr>
                <w:rFonts w:ascii="Arial" w:cs="Arial" w:eastAsia="Arial" w:hAnsi="Arial"/>
                <w:sz w:val="10"/>
                <w:szCs w:val="10"/>
                <w:color w:val="auto"/>
                <w:w w:val="91"/>
              </w:rPr>
              <w:t>10,728</w:t>
            </w:r>
          </w:p>
        </w:tc>
        <w:tc>
          <w:tcPr>
            <w:tcW w:w="1180" w:type="dxa"/>
            <w:vAlign w:val="bottom"/>
            <w:gridSpan w:val="3"/>
          </w:tcPr>
          <w:p>
            <w:pPr>
              <w:jc w:val="center"/>
              <w:ind w:left="232"/>
              <w:spacing w:after="0"/>
              <w:rPr>
                <w:sz w:val="20"/>
                <w:szCs w:val="20"/>
                <w:color w:val="auto"/>
              </w:rPr>
            </w:pPr>
            <w:r>
              <w:rPr>
                <w:rFonts w:ascii="Arial" w:cs="Arial" w:eastAsia="Arial" w:hAnsi="Arial"/>
                <w:sz w:val="10"/>
                <w:szCs w:val="10"/>
                <w:color w:val="auto"/>
                <w:w w:val="97"/>
              </w:rPr>
              <w:t>21,456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32"/>
              <w:spacing w:after="0"/>
              <w:rPr>
                <w:sz w:val="20"/>
                <w:szCs w:val="20"/>
                <w:color w:val="auto"/>
              </w:rPr>
            </w:pPr>
            <w:r>
              <w:rPr>
                <w:rFonts w:ascii="Arial" w:cs="Arial" w:eastAsia="Arial" w:hAnsi="Arial"/>
                <w:sz w:val="10"/>
                <w:szCs w:val="10"/>
                <w:color w:val="auto"/>
                <w:w w:val="97"/>
              </w:rPr>
              <w:t>42,912</w:t>
            </w:r>
          </w:p>
        </w:tc>
        <w:tc>
          <w:tcPr>
            <w:tcW w:w="80" w:type="dxa"/>
            <w:vAlign w:val="bottom"/>
          </w:tcPr>
          <w:p>
            <w:pPr>
              <w:spacing w:after="0"/>
              <w:rPr>
                <w:sz w:val="12"/>
                <w:szCs w:val="12"/>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978,608</w:t>
            </w:r>
          </w:p>
        </w:tc>
        <w:tc>
          <w:tcPr>
            <w:tcW w:w="0" w:type="dxa"/>
            <w:vAlign w:val="bottom"/>
          </w:tcPr>
          <w:p>
            <w:pPr>
              <w:spacing w:after="0"/>
              <w:rPr>
                <w:sz w:val="1"/>
                <w:szCs w:val="1"/>
                <w:color w:val="auto"/>
              </w:rPr>
            </w:pPr>
          </w:p>
        </w:tc>
      </w:tr>
      <w:tr>
        <w:trPr>
          <w:trHeight w:val="132"/>
        </w:trPr>
        <w:tc>
          <w:tcPr>
            <w:tcW w:w="1780" w:type="dxa"/>
            <w:vAlign w:val="bottom"/>
          </w:tcPr>
          <w:p>
            <w:pPr>
              <w:ind w:left="60"/>
              <w:spacing w:after="0"/>
              <w:rPr>
                <w:sz w:val="20"/>
                <w:szCs w:val="20"/>
                <w:color w:val="auto"/>
              </w:rPr>
            </w:pPr>
            <w:r>
              <w:rPr>
                <w:rFonts w:ascii="Arial" w:cs="Arial" w:eastAsia="Arial" w:hAnsi="Arial"/>
                <w:sz w:val="10"/>
                <w:szCs w:val="10"/>
                <w:color w:val="auto"/>
              </w:rPr>
              <w:t>award</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DBDBDB"/>
          </w:tcPr>
          <w:p>
            <w:pPr>
              <w:spacing w:after="0"/>
              <w:rPr>
                <w:sz w:val="20"/>
                <w:szCs w:val="20"/>
                <w:color w:val="auto"/>
              </w:rPr>
            </w:pPr>
            <w:r>
              <w:rPr>
                <w:rFonts w:ascii="Arial" w:cs="Arial" w:eastAsia="Arial" w:hAnsi="Arial"/>
                <w:sz w:val="10"/>
                <w:szCs w:val="10"/>
                <w:color w:val="auto"/>
              </w:rPr>
              <w:t>Matthew J.</w:t>
            </w:r>
          </w:p>
        </w:tc>
        <w:tc>
          <w:tcPr>
            <w:tcW w:w="8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80" w:type="dxa"/>
            <w:vAlign w:val="bottom"/>
            <w:shd w:val="clear" w:color="auto" w:fill="DBDBDB"/>
          </w:tcPr>
          <w:p>
            <w:pPr>
              <w:spacing w:after="0"/>
              <w:rPr>
                <w:sz w:val="20"/>
                <w:szCs w:val="20"/>
                <w:color w:val="auto"/>
              </w:rPr>
            </w:pPr>
            <w:r>
              <w:rPr>
                <w:rFonts w:ascii="Arial" w:cs="Arial" w:eastAsia="Arial" w:hAnsi="Arial"/>
                <w:sz w:val="10"/>
                <w:szCs w:val="10"/>
                <w:color w:val="auto"/>
              </w:rPr>
              <w:t>Osberg</w:t>
            </w:r>
            <w:r>
              <w:rPr>
                <w:rFonts w:ascii="Arial" w:cs="Arial" w:eastAsia="Arial" w:hAnsi="Arial"/>
                <w:sz w:val="12"/>
                <w:szCs w:val="12"/>
                <w:color w:val="auto"/>
                <w:vertAlign w:val="superscript"/>
              </w:rPr>
              <w:t>(7)</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Fiscal 2026 short-term cash incentive</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shd w:val="clear" w:color="auto" w:fill="DBDBDB"/>
          </w:tcPr>
          <w:p>
            <w:pPr>
              <w:jc w:val="center"/>
              <w:ind w:left="272"/>
              <w:spacing w:after="0"/>
              <w:rPr>
                <w:sz w:val="20"/>
                <w:szCs w:val="20"/>
                <w:color w:val="auto"/>
              </w:rPr>
            </w:pPr>
            <w:r>
              <w:rPr>
                <w:rFonts w:ascii="Arial" w:cs="Arial" w:eastAsia="Arial" w:hAnsi="Arial"/>
                <w:sz w:val="10"/>
                <w:szCs w:val="10"/>
                <w:color w:val="auto"/>
                <w:w w:val="97"/>
              </w:rPr>
              <w:t>63,000</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504,000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8"/>
              </w:rPr>
              <w:t>1,008,000</w:t>
            </w: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53"/>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LTIP Fiscal 2026 restricted stock</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left="192"/>
              <w:spacing w:after="0"/>
              <w:rPr>
                <w:sz w:val="20"/>
                <w:szCs w:val="20"/>
                <w:color w:val="auto"/>
              </w:rPr>
            </w:pPr>
            <w:r>
              <w:rPr>
                <w:rFonts w:ascii="Arial" w:cs="Arial" w:eastAsia="Arial" w:hAnsi="Arial"/>
                <w:sz w:val="10"/>
                <w:szCs w:val="10"/>
                <w:color w:val="auto"/>
                <w:w w:val="99"/>
              </w:rPr>
              <w:t>—</w:t>
            </w:r>
          </w:p>
        </w:tc>
        <w:tc>
          <w:tcPr>
            <w:tcW w:w="2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0" w:type="dxa"/>
            <w:vAlign w:val="bottom"/>
            <w:gridSpan w:val="3"/>
            <w:shd w:val="clear" w:color="auto" w:fill="DBDBDB"/>
          </w:tcPr>
          <w:p>
            <w:pPr>
              <w:jc w:val="center"/>
              <w:ind w:right="300"/>
              <w:spacing w:after="0"/>
              <w:rPr>
                <w:sz w:val="20"/>
                <w:szCs w:val="20"/>
                <w:color w:val="auto"/>
              </w:rPr>
            </w:pPr>
            <w:r>
              <w:rPr>
                <w:rFonts w:ascii="Arial" w:cs="Arial" w:eastAsia="Arial" w:hAnsi="Arial"/>
                <w:sz w:val="10"/>
                <w:szCs w:val="10"/>
                <w:color w:val="auto"/>
                <w:w w:val="99"/>
              </w:rPr>
              <w:t>—</w:t>
            </w:r>
          </w:p>
        </w:tc>
        <w:tc>
          <w:tcPr>
            <w:tcW w:w="820" w:type="dxa"/>
            <w:vAlign w:val="bottom"/>
            <w:gridSpan w:val="2"/>
            <w:shd w:val="clear" w:color="auto" w:fill="DBDBDB"/>
          </w:tcPr>
          <w:p>
            <w:pPr>
              <w:jc w:val="center"/>
              <w:ind w:right="300"/>
              <w:spacing w:after="0"/>
              <w:rPr>
                <w:sz w:val="20"/>
                <w:szCs w:val="20"/>
                <w:color w:val="auto"/>
              </w:rPr>
            </w:pPr>
            <w:r>
              <w:rPr>
                <w:rFonts w:ascii="Arial" w:cs="Arial" w:eastAsia="Arial" w:hAnsi="Arial"/>
                <w:sz w:val="10"/>
                <w:szCs w:val="10"/>
                <w:color w:val="auto"/>
                <w:w w:val="79"/>
              </w:rPr>
              <w:t>—</w:t>
            </w: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60" w:type="dxa"/>
            <w:vAlign w:val="bottom"/>
            <w:gridSpan w:val="3"/>
            <w:shd w:val="clear" w:color="auto" w:fill="DBDBDB"/>
          </w:tcPr>
          <w:p>
            <w:pPr>
              <w:jc w:val="center"/>
              <w:ind w:right="260"/>
              <w:spacing w:after="0"/>
              <w:rPr>
                <w:sz w:val="20"/>
                <w:szCs w:val="20"/>
                <w:color w:val="auto"/>
              </w:rPr>
            </w:pPr>
            <w:r>
              <w:rPr>
                <w:rFonts w:ascii="Arial" w:cs="Arial" w:eastAsia="Arial" w:hAnsi="Arial"/>
                <w:sz w:val="10"/>
                <w:szCs w:val="10"/>
                <w:color w:val="auto"/>
                <w:w w:val="99"/>
              </w:rPr>
              <w:t>—</w:t>
            </w: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9"/>
              </w:rPr>
              <w:t>—</w:t>
            </w:r>
          </w:p>
        </w:tc>
        <w:tc>
          <w:tcPr>
            <w:tcW w:w="1020" w:type="dxa"/>
            <w:vAlign w:val="bottom"/>
            <w:gridSpan w:val="2"/>
            <w:shd w:val="clear" w:color="auto" w:fill="DBDBDB"/>
          </w:tcPr>
          <w:p>
            <w:pPr>
              <w:jc w:val="center"/>
              <w:ind w:left="12"/>
              <w:spacing w:after="0"/>
              <w:rPr>
                <w:sz w:val="20"/>
                <w:szCs w:val="20"/>
                <w:color w:val="auto"/>
              </w:rPr>
            </w:pPr>
            <w:r>
              <w:rPr>
                <w:rFonts w:ascii="Arial" w:cs="Arial" w:eastAsia="Arial" w:hAnsi="Arial"/>
                <w:sz w:val="10"/>
                <w:szCs w:val="10"/>
                <w:color w:val="auto"/>
                <w:w w:val="91"/>
              </w:rPr>
              <w:t>12,155</w:t>
            </w:r>
          </w:p>
        </w:tc>
        <w:tc>
          <w:tcPr>
            <w:tcW w:w="80" w:type="dxa"/>
            <w:vAlign w:val="bottom"/>
            <w:shd w:val="clear" w:color="auto" w:fill="DBDBDB"/>
          </w:tcPr>
          <w:p>
            <w:pPr>
              <w:spacing w:after="0"/>
              <w:rPr>
                <w:sz w:val="13"/>
                <w:szCs w:val="13"/>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554,390</w:t>
            </w:r>
          </w:p>
        </w:tc>
        <w:tc>
          <w:tcPr>
            <w:tcW w:w="0" w:type="dxa"/>
            <w:vAlign w:val="bottom"/>
          </w:tcPr>
          <w:p>
            <w:pPr>
              <w:spacing w:after="0"/>
              <w:rPr>
                <w:sz w:val="1"/>
                <w:szCs w:val="1"/>
                <w:color w:val="auto"/>
              </w:rPr>
            </w:pPr>
          </w:p>
        </w:tc>
      </w:tr>
      <w:tr>
        <w:trPr>
          <w:trHeight w:val="145"/>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LTIP Fiscal 2026 - 2028 performance</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4/22/2025</w:t>
            </w:r>
          </w:p>
        </w:tc>
        <w:tc>
          <w:tcPr>
            <w:tcW w:w="820" w:type="dxa"/>
            <w:vAlign w:val="bottom"/>
            <w:gridSpan w:val="2"/>
            <w:shd w:val="clear" w:color="auto" w:fill="DBDBDB"/>
          </w:tcPr>
          <w:p>
            <w:pPr>
              <w:jc w:val="center"/>
              <w:ind w:left="272"/>
              <w:spacing w:after="0"/>
              <w:rPr>
                <w:sz w:val="20"/>
                <w:szCs w:val="20"/>
                <w:color w:val="auto"/>
              </w:rPr>
            </w:pPr>
            <w:r>
              <w:rPr>
                <w:rFonts w:ascii="Arial" w:cs="Arial" w:eastAsia="Arial" w:hAnsi="Arial"/>
                <w:sz w:val="10"/>
                <w:szCs w:val="10"/>
                <w:color w:val="auto"/>
                <w:w w:val="93"/>
              </w:rPr>
              <w:t>126,000</w:t>
            </w:r>
          </w:p>
        </w:tc>
        <w:tc>
          <w:tcPr>
            <w:tcW w:w="1240" w:type="dxa"/>
            <w:vAlign w:val="bottom"/>
            <w:gridSpan w:val="3"/>
            <w:shd w:val="clear" w:color="auto" w:fill="DBDBDB"/>
          </w:tcPr>
          <w:p>
            <w:pPr>
              <w:jc w:val="center"/>
              <w:ind w:left="292"/>
              <w:spacing w:after="0"/>
              <w:rPr>
                <w:sz w:val="20"/>
                <w:szCs w:val="20"/>
                <w:color w:val="auto"/>
              </w:rPr>
            </w:pPr>
            <w:r>
              <w:rPr>
                <w:rFonts w:ascii="Arial" w:cs="Arial" w:eastAsia="Arial" w:hAnsi="Arial"/>
                <w:sz w:val="10"/>
                <w:szCs w:val="10"/>
                <w:color w:val="auto"/>
                <w:w w:val="93"/>
              </w:rPr>
              <w:t>252,000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172"/>
              <w:spacing w:after="0"/>
              <w:rPr>
                <w:sz w:val="20"/>
                <w:szCs w:val="20"/>
                <w:color w:val="auto"/>
              </w:rPr>
            </w:pPr>
            <w:r>
              <w:rPr>
                <w:rFonts w:ascii="Arial" w:cs="Arial" w:eastAsia="Arial" w:hAnsi="Arial"/>
                <w:sz w:val="10"/>
                <w:szCs w:val="10"/>
                <w:color w:val="auto"/>
                <w:w w:val="99"/>
              </w:rPr>
              <w:t>504,000</w:t>
            </w: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left="152"/>
              <w:spacing w:after="0"/>
              <w:rPr>
                <w:sz w:val="20"/>
                <w:szCs w:val="20"/>
                <w:color w:val="auto"/>
              </w:rPr>
            </w:pPr>
            <w:r>
              <w:rPr>
                <w:rFonts w:ascii="Arial" w:cs="Arial" w:eastAsia="Arial" w:hAnsi="Arial"/>
                <w:sz w:val="10"/>
                <w:szCs w:val="10"/>
                <w:color w:val="auto"/>
                <w:w w:val="95"/>
              </w:rPr>
              <w:t>2,763</w:t>
            </w:r>
          </w:p>
        </w:tc>
        <w:tc>
          <w:tcPr>
            <w:tcW w:w="1180" w:type="dxa"/>
            <w:vAlign w:val="bottom"/>
            <w:gridSpan w:val="3"/>
            <w:shd w:val="clear" w:color="auto" w:fill="DBDBDB"/>
          </w:tcPr>
          <w:p>
            <w:pPr>
              <w:jc w:val="center"/>
              <w:ind w:left="252"/>
              <w:spacing w:after="0"/>
              <w:rPr>
                <w:sz w:val="20"/>
                <w:szCs w:val="20"/>
                <w:color w:val="auto"/>
              </w:rPr>
            </w:pPr>
            <w:r>
              <w:rPr>
                <w:rFonts w:ascii="Arial" w:cs="Arial" w:eastAsia="Arial" w:hAnsi="Arial"/>
                <w:sz w:val="10"/>
                <w:szCs w:val="10"/>
                <w:color w:val="auto"/>
                <w:w w:val="95"/>
              </w:rPr>
              <w:t>5,525</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jc w:val="center"/>
              <w:ind w:right="132"/>
              <w:spacing w:after="0"/>
              <w:rPr>
                <w:sz w:val="20"/>
                <w:szCs w:val="20"/>
                <w:color w:val="auto"/>
              </w:rPr>
            </w:pPr>
            <w:r>
              <w:rPr>
                <w:rFonts w:ascii="Arial" w:cs="Arial" w:eastAsia="Arial" w:hAnsi="Arial"/>
                <w:sz w:val="10"/>
                <w:szCs w:val="10"/>
                <w:color w:val="auto"/>
                <w:w w:val="97"/>
              </w:rPr>
              <w:t>11,050</w:t>
            </w:r>
          </w:p>
        </w:tc>
        <w:tc>
          <w:tcPr>
            <w:tcW w:w="8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9"/>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3"/>
              </w:rPr>
              <w:t>251,995</w:t>
            </w:r>
          </w:p>
        </w:tc>
        <w:tc>
          <w:tcPr>
            <w:tcW w:w="0" w:type="dxa"/>
            <w:vAlign w:val="bottom"/>
          </w:tcPr>
          <w:p>
            <w:pPr>
              <w:spacing w:after="0"/>
              <w:rPr>
                <w:sz w:val="1"/>
                <w:szCs w:val="1"/>
                <w:color w:val="auto"/>
              </w:rPr>
            </w:pPr>
          </w:p>
        </w:tc>
      </w:tr>
      <w:tr>
        <w:trPr>
          <w:trHeight w:val="140"/>
        </w:trPr>
        <w:tc>
          <w:tcPr>
            <w:tcW w:w="1780" w:type="dxa"/>
            <w:vAlign w:val="bottom"/>
            <w:shd w:val="clear" w:color="auto" w:fill="DBDBDB"/>
          </w:tcPr>
          <w:p>
            <w:pPr>
              <w:ind w:left="60"/>
              <w:spacing w:after="0"/>
              <w:rPr>
                <w:sz w:val="20"/>
                <w:szCs w:val="20"/>
                <w:color w:val="auto"/>
              </w:rPr>
            </w:pPr>
            <w:r>
              <w:rPr>
                <w:rFonts w:ascii="Arial" w:cs="Arial" w:eastAsia="Arial" w:hAnsi="Arial"/>
                <w:sz w:val="10"/>
                <w:szCs w:val="10"/>
                <w:color w:val="auto"/>
              </w:rPr>
              <w:t>award</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780" w:type="dxa"/>
            <w:vAlign w:val="bottom"/>
          </w:tcPr>
          <w:p>
            <w:pPr>
              <w:spacing w:after="0"/>
              <w:rPr>
                <w:sz w:val="20"/>
                <w:szCs w:val="20"/>
                <w:color w:val="auto"/>
              </w:rPr>
            </w:pPr>
            <w:r>
              <w:rPr>
                <w:rFonts w:ascii="Arial" w:cs="Arial" w:eastAsia="Arial" w:hAnsi="Arial"/>
                <w:sz w:val="7"/>
                <w:szCs w:val="7"/>
                <w:color w:val="auto"/>
              </w:rPr>
              <w:t>___________________________</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328" w:hanging="328"/>
        <w:spacing w:after="0" w:line="268" w:lineRule="auto"/>
        <w:tabs>
          <w:tab w:leader="none" w:pos="322"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These columns show the range of possible payouts under the fiscal 2026 short-term cash incentive awards and the cash portion of the fiscal 2026 – 2028 performance awards. In connection with Mr. T. Johnson's reassignment to the position of President, Architectural Metals Segment, effective August 7, 2025, the Company established a minimum short-term cash incentive award of 100% of target for fiscal 2026 and fiscal 2027. See “Short-Term Cash Incentive Compensation” beginning on page </w:t>
      </w:r>
      <w:r>
        <w:rPr>
          <w:rFonts w:ascii="Arial" w:cs="Arial" w:eastAsia="Arial" w:hAnsi="Arial"/>
          <w:sz w:val="12"/>
          <w:szCs w:val="12"/>
          <w:u w:val="single" w:color="auto"/>
          <w:color w:val="0000FF"/>
        </w:rPr>
        <w:t>43</w:t>
      </w:r>
      <w:r>
        <w:rPr>
          <w:rFonts w:ascii="Arial" w:cs="Arial" w:eastAsia="Arial" w:hAnsi="Arial"/>
          <w:sz w:val="12"/>
          <w:szCs w:val="12"/>
          <w:color w:val="auto"/>
        </w:rPr>
        <w:t xml:space="preserve"> and “Performance Awards” beginning on page </w:t>
      </w:r>
      <w:r>
        <w:rPr>
          <w:rFonts w:ascii="Arial" w:cs="Arial" w:eastAsia="Arial" w:hAnsi="Arial"/>
          <w:sz w:val="12"/>
          <w:szCs w:val="12"/>
          <w:u w:val="single" w:color="auto"/>
          <w:color w:val="0000FF"/>
        </w:rPr>
        <w:t>48</w:t>
      </w:r>
      <w:r>
        <w:rPr>
          <w:rFonts w:ascii="Arial" w:cs="Arial" w:eastAsia="Arial" w:hAnsi="Arial"/>
          <w:sz w:val="12"/>
          <w:szCs w:val="12"/>
          <w:color w:val="auto"/>
        </w:rPr>
        <w:t>.</w:t>
      </w:r>
    </w:p>
    <w:p>
      <w:pPr>
        <w:spacing w:after="0" w:line="41"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These columns show the threshold, target and maximum level of shares to be earned under the performance share unit portion of the fiscal 2026 – 2028 performance awards. See “Performance Awards” beginning on page </w:t>
      </w:r>
      <w:r>
        <w:rPr>
          <w:rFonts w:ascii="Arial" w:cs="Arial" w:eastAsia="Arial" w:hAnsi="Arial"/>
          <w:sz w:val="12"/>
          <w:szCs w:val="12"/>
          <w:u w:val="single" w:color="auto"/>
          <w:color w:val="0000FF"/>
        </w:rPr>
        <w:t>48</w:t>
      </w:r>
      <w:r>
        <w:rPr>
          <w:rFonts w:ascii="Arial" w:cs="Arial" w:eastAsia="Arial" w:hAnsi="Arial"/>
          <w:sz w:val="12"/>
          <w:szCs w:val="12"/>
          <w:color w:val="auto"/>
        </w:rPr>
        <w:t>.</w:t>
      </w:r>
    </w:p>
    <w:p>
      <w:pPr>
        <w:spacing w:after="0" w:line="31" w:lineRule="exact"/>
        <w:rPr>
          <w:rFonts w:ascii="Arial" w:cs="Arial" w:eastAsia="Arial" w:hAnsi="Arial"/>
          <w:sz w:val="12"/>
          <w:szCs w:val="12"/>
          <w:color w:val="auto"/>
        </w:rPr>
      </w:pPr>
    </w:p>
    <w:p>
      <w:pPr>
        <w:jc w:val="both"/>
        <w:ind w:left="328" w:hanging="328"/>
        <w:spacing w:after="0" w:line="262" w:lineRule="auto"/>
        <w:tabs>
          <w:tab w:leader="none" w:pos="322"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This column shows the restricted stock awards made under the long-term incentive program on April 22, 2025, except for Mr. Nolan, this column shows his service award of time based restricted stock on January 14, 2026. For Mr. Augdahl, this column also shows his time-based restricted stock award related to his promotion to Executive Vice President and Chief Financial Officer effective January 19, 2026. For Mr. T. Johnson, this column also shows his reassignment grant of time-based restricted stock on October 17, 2026. For Messrs. T. Johnson, Jewell, and Ms. Lakkundi, this column also shows their retention grants of time-based restricted stock on January 14, 2026. See “Restricted Stock Awards” beginning on page </w:t>
      </w:r>
      <w:r>
        <w:rPr>
          <w:rFonts w:ascii="Arial" w:cs="Arial" w:eastAsia="Arial" w:hAnsi="Arial"/>
          <w:sz w:val="12"/>
          <w:szCs w:val="12"/>
          <w:u w:val="single" w:color="auto"/>
          <w:color w:val="0000FF"/>
        </w:rPr>
        <w:t>46</w:t>
      </w:r>
      <w:r>
        <w:rPr>
          <w:rFonts w:ascii="Arial" w:cs="Arial" w:eastAsia="Arial" w:hAnsi="Arial"/>
          <w:sz w:val="12"/>
          <w:szCs w:val="12"/>
          <w:color w:val="auto"/>
        </w:rPr>
        <w:t>.</w:t>
      </w:r>
    </w:p>
    <w:p>
      <w:pPr>
        <w:spacing w:after="0" w:line="45"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This column shows the grant date fair value of the restricted stock awards and the performance share unit portion of the performance awards which were calculated in accordance with FASB ASC Topic 718 by multiplying the number of restricted shares or performance share units at target performance by the</w:t>
      </w: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7" w:right="299" w:bottom="1440" w:gutter="0" w:footer="0" w:header="0"/>
        </w:sectPr>
      </w:pPr>
    </w:p>
    <w:bookmarkStart w:id="60" w:name="page61"/>
    <w:bookmarkEnd w:id="60"/>
    <w:p>
      <w:pPr>
        <w:ind w:left="328"/>
        <w:spacing w:after="0" w:line="286" w:lineRule="auto"/>
        <w:rPr>
          <w:sz w:val="20"/>
          <w:szCs w:val="20"/>
          <w:color w:val="auto"/>
        </w:rPr>
      </w:pPr>
      <w:r>
        <w:rPr>
          <w:rFonts w:ascii="Arial" w:cs="Arial" w:eastAsia="Arial" w:hAnsi="Arial"/>
          <w:sz w:val="12"/>
          <w:szCs w:val="12"/>
          <w:color w:val="auto"/>
        </w:rPr>
        <w:t>closing price of our common stock on the Nasdaq Global Select Market on the date of grant. The closing price of our common stock on the Nasdaq Global Select Market was $45.61 on the grant date of April 22, 2025; $38.00 on the grant date of October 17, 2025; $35.54 on the grant date of January 14, 2026; and $36.92 on the grant date of January 19, 2026.</w:t>
      </w:r>
    </w:p>
    <w:p>
      <w:pPr>
        <w:spacing w:after="0" w:line="31" w:lineRule="exact"/>
        <w:rPr>
          <w:sz w:val="20"/>
          <w:szCs w:val="20"/>
          <w:color w:val="auto"/>
        </w:rPr>
      </w:pPr>
    </w:p>
    <w:p>
      <w:pPr>
        <w:ind w:left="328"/>
        <w:spacing w:after="0"/>
        <w:rPr>
          <w:sz w:val="20"/>
          <w:szCs w:val="20"/>
          <w:color w:val="auto"/>
        </w:rPr>
      </w:pPr>
      <w:r>
        <w:rPr>
          <w:rFonts w:ascii="Arial" w:cs="Arial" w:eastAsia="Arial" w:hAnsi="Arial"/>
          <w:sz w:val="12"/>
          <w:szCs w:val="12"/>
          <w:color w:val="auto"/>
        </w:rPr>
        <w:t xml:space="preserve">For a description of how these awards are treated upon termination or a change-in-control, see “Potential Payments Upon Termination or Following a Change-in-Control” beginning on page </w:t>
      </w:r>
      <w:r>
        <w:rPr>
          <w:rFonts w:ascii="Arial" w:cs="Arial" w:eastAsia="Arial" w:hAnsi="Arial"/>
          <w:sz w:val="12"/>
          <w:szCs w:val="12"/>
          <w:u w:val="single" w:color="auto"/>
          <w:color w:val="0000FF"/>
        </w:rPr>
        <w:t>62</w:t>
      </w:r>
      <w:r>
        <w:rPr>
          <w:rFonts w:ascii="Arial" w:cs="Arial" w:eastAsia="Arial" w:hAnsi="Arial"/>
          <w:sz w:val="12"/>
          <w:szCs w:val="12"/>
          <w:color w:val="auto"/>
        </w:rPr>
        <w:t>.</w:t>
      </w:r>
    </w:p>
    <w:p>
      <w:pPr>
        <w:spacing w:after="0" w:line="78" w:lineRule="exact"/>
        <w:rPr>
          <w:sz w:val="20"/>
          <w:szCs w:val="20"/>
          <w:color w:val="auto"/>
        </w:rPr>
      </w:pPr>
    </w:p>
    <w:p>
      <w:pPr>
        <w:ind w:left="288" w:hanging="288"/>
        <w:spacing w:after="0"/>
        <w:tabs>
          <w:tab w:leader="none" w:pos="2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Nolan was appointed as Chief Executive Officer at the close of business on October 31, 2025, during fiscal 2026.</w:t>
      </w:r>
    </w:p>
    <w:p>
      <w:pPr>
        <w:spacing w:after="0" w:line="78" w:lineRule="exact"/>
        <w:rPr>
          <w:rFonts w:ascii="Arial" w:cs="Arial" w:eastAsia="Arial" w:hAnsi="Arial"/>
          <w:sz w:val="12"/>
          <w:szCs w:val="12"/>
          <w:color w:val="auto"/>
        </w:rPr>
      </w:pPr>
    </w:p>
    <w:p>
      <w:pPr>
        <w:ind w:left="288" w:hanging="288"/>
        <w:spacing w:after="0"/>
        <w:tabs>
          <w:tab w:leader="none" w:pos="2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Silberhorn separated from our Company on October 31, 2025, during fiscal 2026.</w:t>
      </w:r>
    </w:p>
    <w:p>
      <w:pPr>
        <w:spacing w:after="0" w:line="78" w:lineRule="exact"/>
        <w:rPr>
          <w:rFonts w:ascii="Arial" w:cs="Arial" w:eastAsia="Arial" w:hAnsi="Arial"/>
          <w:sz w:val="12"/>
          <w:szCs w:val="12"/>
          <w:color w:val="auto"/>
        </w:rPr>
      </w:pPr>
    </w:p>
    <w:p>
      <w:pPr>
        <w:ind w:left="288" w:hanging="288"/>
        <w:spacing w:after="0"/>
        <w:tabs>
          <w:tab w:leader="none" w:pos="2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Osberg resigned from our Company effective January 16, 2026, during fiscal 2026.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5445E"/>
        </w:rPr>
        <w:t>Outstanding Equity Awards at Fiscal Year-End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equity awards held by our Named Executive Officers as of February 28, 2026, the last day of fiscal 2026.</w:t>
      </w:r>
    </w:p>
    <w:p>
      <w:pPr>
        <w:spacing w:after="0" w:line="336" w:lineRule="exact"/>
        <w:rPr>
          <w:sz w:val="20"/>
          <w:szCs w:val="20"/>
          <w:color w:val="auto"/>
        </w:rPr>
      </w:pPr>
    </w:p>
    <w:p>
      <w:pPr>
        <w:jc w:val="center"/>
        <w:ind w:right="152"/>
        <w:spacing w:after="0"/>
        <w:rPr>
          <w:sz w:val="20"/>
          <w:szCs w:val="20"/>
          <w:color w:val="auto"/>
        </w:rPr>
      </w:pPr>
      <w:r>
        <w:rPr>
          <w:rFonts w:ascii="Arial" w:cs="Arial" w:eastAsia="Arial" w:hAnsi="Arial"/>
          <w:sz w:val="10"/>
          <w:szCs w:val="10"/>
          <w:b w:val="1"/>
          <w:bCs w:val="1"/>
          <w:color w:val="auto"/>
        </w:rPr>
        <w:t>Outstanding Equity Awards at Fiscal 2026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7517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75170" cy="5715"/>
                    </a:xfrm>
                    <a:prstGeom prst="rect">
                      <a:avLst/>
                    </a:prstGeom>
                    <a:noFill/>
                  </pic:spPr>
                </pic:pic>
              </a:graphicData>
            </a:graphic>
          </wp:anchor>
        </w:drawing>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05445E"/>
              </w:rPr>
              <w:t>Stock Awards</w:t>
            </w:r>
          </w:p>
        </w:tc>
        <w:tc>
          <w:tcPr>
            <w:tcW w:w="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8"/>
              </w:rPr>
              <w:t>Equity</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6"/>
              </w:rPr>
              <w:t>Incentive</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1"/>
              </w:rPr>
              <w:t>Equity</w:t>
            </w:r>
          </w:p>
        </w:tc>
        <w:tc>
          <w:tcPr>
            <w:tcW w:w="34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Plan</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2"/>
              </w:rPr>
              <w:t>Incentive</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6"/>
              </w:rPr>
              <w:t>Awards:</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4"/>
              </w:rPr>
              <w:t>Plan</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3"/>
              </w:rPr>
              <w:t>Market or</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1"/>
              </w:rPr>
              <w:t>Awards:</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5"/>
              </w:rPr>
              <w:t>Payout</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5"/>
              </w:rPr>
              <w:t>Number of</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7"/>
              </w:rPr>
              <w:t>Value of</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5"/>
              </w:rPr>
              <w:t>Unearned</w:t>
            </w:r>
          </w:p>
        </w:tc>
        <w:tc>
          <w:tcPr>
            <w:tcW w:w="34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5"/>
              </w:rPr>
              <w:t>Unearned</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5"/>
              </w:rPr>
              <w:t>Number of</w:t>
            </w:r>
          </w:p>
        </w:tc>
        <w:tc>
          <w:tcPr>
            <w:tcW w:w="360" w:type="dxa"/>
            <w:vAlign w:val="bottom"/>
          </w:tcPr>
          <w:p>
            <w:pPr>
              <w:spacing w:after="0"/>
              <w:rPr>
                <w:sz w:val="10"/>
                <w:szCs w:val="10"/>
                <w:color w:val="auto"/>
              </w:rPr>
            </w:pPr>
          </w:p>
        </w:tc>
        <w:tc>
          <w:tcPr>
            <w:tcW w:w="1560" w:type="dxa"/>
            <w:vAlign w:val="bottom"/>
          </w:tcPr>
          <w:p>
            <w:pPr>
              <w:jc w:val="center"/>
              <w:ind w:left="372"/>
              <w:spacing w:after="0"/>
              <w:rPr>
                <w:sz w:val="20"/>
                <w:szCs w:val="20"/>
                <w:color w:val="auto"/>
              </w:rPr>
            </w:pPr>
            <w:r>
              <w:rPr>
                <w:rFonts w:ascii="Arial" w:cs="Arial" w:eastAsia="Arial" w:hAnsi="Arial"/>
                <w:sz w:val="10"/>
                <w:szCs w:val="10"/>
                <w:b w:val="1"/>
                <w:bCs w:val="1"/>
                <w:color w:val="05445E"/>
                <w:w w:val="93"/>
              </w:rPr>
              <w:t>Market Value</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9"/>
              </w:rPr>
              <w:t>Shares,</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3"/>
              </w:rPr>
              <w:t>Shares,</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5"/>
              </w:rPr>
              <w:t>Shares or</w:t>
            </w:r>
          </w:p>
        </w:tc>
        <w:tc>
          <w:tcPr>
            <w:tcW w:w="360" w:type="dxa"/>
            <w:vAlign w:val="bottom"/>
          </w:tcPr>
          <w:p>
            <w:pPr>
              <w:spacing w:after="0"/>
              <w:rPr>
                <w:sz w:val="10"/>
                <w:szCs w:val="10"/>
                <w:color w:val="auto"/>
              </w:rPr>
            </w:pPr>
          </w:p>
        </w:tc>
        <w:tc>
          <w:tcPr>
            <w:tcW w:w="1560" w:type="dxa"/>
            <w:vAlign w:val="bottom"/>
          </w:tcPr>
          <w:p>
            <w:pPr>
              <w:jc w:val="center"/>
              <w:ind w:left="352"/>
              <w:spacing w:after="0"/>
              <w:rPr>
                <w:sz w:val="20"/>
                <w:szCs w:val="20"/>
                <w:color w:val="auto"/>
              </w:rPr>
            </w:pPr>
            <w:r>
              <w:rPr>
                <w:rFonts w:ascii="Arial" w:cs="Arial" w:eastAsia="Arial" w:hAnsi="Arial"/>
                <w:sz w:val="10"/>
                <w:szCs w:val="10"/>
                <w:b w:val="1"/>
                <w:bCs w:val="1"/>
                <w:color w:val="05445E"/>
                <w:w w:val="95"/>
              </w:rPr>
              <w:t>of Shares or</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5"/>
              </w:rPr>
              <w:t>Units or</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5"/>
              </w:rPr>
              <w:t>Units or</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6"/>
              </w:rPr>
              <w:t>Units of</w:t>
            </w:r>
          </w:p>
        </w:tc>
        <w:tc>
          <w:tcPr>
            <w:tcW w:w="360" w:type="dxa"/>
            <w:vAlign w:val="bottom"/>
          </w:tcPr>
          <w:p>
            <w:pPr>
              <w:spacing w:after="0"/>
              <w:rPr>
                <w:sz w:val="9"/>
                <w:szCs w:val="9"/>
                <w:color w:val="auto"/>
              </w:rPr>
            </w:pPr>
          </w:p>
        </w:tc>
        <w:tc>
          <w:tcPr>
            <w:tcW w:w="1560" w:type="dxa"/>
            <w:vAlign w:val="bottom"/>
          </w:tcPr>
          <w:p>
            <w:pPr>
              <w:jc w:val="center"/>
              <w:ind w:left="372"/>
              <w:spacing w:after="0" w:line="108" w:lineRule="exact"/>
              <w:rPr>
                <w:sz w:val="20"/>
                <w:szCs w:val="20"/>
                <w:color w:val="auto"/>
              </w:rPr>
            </w:pPr>
            <w:r>
              <w:rPr>
                <w:rFonts w:ascii="Arial" w:cs="Arial" w:eastAsia="Arial" w:hAnsi="Arial"/>
                <w:sz w:val="10"/>
                <w:szCs w:val="10"/>
                <w:b w:val="1"/>
                <w:bCs w:val="1"/>
                <w:color w:val="05445E"/>
                <w:w w:val="91"/>
              </w:rPr>
              <w:t>Units of</w:t>
            </w: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89"/>
              </w:rPr>
              <w:t>Other</w:t>
            </w:r>
          </w:p>
        </w:tc>
        <w:tc>
          <w:tcPr>
            <w:tcW w:w="34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7"/>
              </w:rPr>
              <w:t>Other</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3"/>
              </w:rPr>
              <w:t>Stock That</w:t>
            </w:r>
          </w:p>
        </w:tc>
        <w:tc>
          <w:tcPr>
            <w:tcW w:w="360" w:type="dxa"/>
            <w:vAlign w:val="bottom"/>
          </w:tcPr>
          <w:p>
            <w:pPr>
              <w:spacing w:after="0"/>
              <w:rPr>
                <w:sz w:val="10"/>
                <w:szCs w:val="10"/>
                <w:color w:val="auto"/>
              </w:rPr>
            </w:pPr>
          </w:p>
        </w:tc>
        <w:tc>
          <w:tcPr>
            <w:tcW w:w="1560" w:type="dxa"/>
            <w:vAlign w:val="bottom"/>
          </w:tcPr>
          <w:p>
            <w:pPr>
              <w:jc w:val="center"/>
              <w:ind w:left="372"/>
              <w:spacing w:after="0"/>
              <w:rPr>
                <w:sz w:val="20"/>
                <w:szCs w:val="20"/>
                <w:color w:val="auto"/>
              </w:rPr>
            </w:pPr>
            <w:r>
              <w:rPr>
                <w:rFonts w:ascii="Arial" w:cs="Arial" w:eastAsia="Arial" w:hAnsi="Arial"/>
                <w:sz w:val="10"/>
                <w:szCs w:val="10"/>
                <w:b w:val="1"/>
                <w:bCs w:val="1"/>
                <w:color w:val="05445E"/>
                <w:w w:val="97"/>
              </w:rPr>
              <w:t>Stock That</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4"/>
              </w:rPr>
              <w:t>Rights That</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6"/>
              </w:rPr>
              <w:t>Rights</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2"/>
              </w:rPr>
              <w:t>Have Not</w:t>
            </w:r>
          </w:p>
        </w:tc>
        <w:tc>
          <w:tcPr>
            <w:tcW w:w="360" w:type="dxa"/>
            <w:vAlign w:val="bottom"/>
          </w:tcPr>
          <w:p>
            <w:pPr>
              <w:spacing w:after="0"/>
              <w:rPr>
                <w:sz w:val="10"/>
                <w:szCs w:val="10"/>
                <w:color w:val="auto"/>
              </w:rPr>
            </w:pPr>
          </w:p>
        </w:tc>
        <w:tc>
          <w:tcPr>
            <w:tcW w:w="1560" w:type="dxa"/>
            <w:vAlign w:val="bottom"/>
          </w:tcPr>
          <w:p>
            <w:pPr>
              <w:jc w:val="center"/>
              <w:ind w:left="372"/>
              <w:spacing w:after="0"/>
              <w:rPr>
                <w:sz w:val="20"/>
                <w:szCs w:val="20"/>
                <w:color w:val="auto"/>
              </w:rPr>
            </w:pPr>
            <w:r>
              <w:rPr>
                <w:rFonts w:ascii="Arial" w:cs="Arial" w:eastAsia="Arial" w:hAnsi="Arial"/>
                <w:sz w:val="10"/>
                <w:szCs w:val="10"/>
                <w:b w:val="1"/>
                <w:bCs w:val="1"/>
                <w:color w:val="05445E"/>
                <w:w w:val="96"/>
              </w:rPr>
              <w:t>Have Not</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2"/>
              </w:rPr>
              <w:t>Have Not</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6"/>
              </w:rPr>
              <w:t>That Have</w:t>
            </w:r>
          </w:p>
        </w:tc>
        <w:tc>
          <w:tcPr>
            <w:tcW w:w="0" w:type="dxa"/>
            <w:vAlign w:val="bottom"/>
          </w:tcPr>
          <w:p>
            <w:pPr>
              <w:spacing w:after="0"/>
              <w:rPr>
                <w:sz w:val="1"/>
                <w:szCs w:val="1"/>
                <w:color w:val="auto"/>
              </w:rPr>
            </w:pPr>
          </w:p>
        </w:tc>
      </w:tr>
      <w:tr>
        <w:trPr>
          <w:trHeight w:val="115"/>
        </w:trPr>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7"/>
              </w:rPr>
              <w:t>Vested</w:t>
            </w:r>
          </w:p>
        </w:tc>
        <w:tc>
          <w:tcPr>
            <w:tcW w:w="360" w:type="dxa"/>
            <w:vAlign w:val="bottom"/>
          </w:tcPr>
          <w:p>
            <w:pPr>
              <w:spacing w:after="0"/>
              <w:rPr>
                <w:sz w:val="10"/>
                <w:szCs w:val="10"/>
                <w:color w:val="auto"/>
              </w:rPr>
            </w:pPr>
          </w:p>
        </w:tc>
        <w:tc>
          <w:tcPr>
            <w:tcW w:w="1560" w:type="dxa"/>
            <w:vAlign w:val="bottom"/>
          </w:tcPr>
          <w:p>
            <w:pPr>
              <w:jc w:val="center"/>
              <w:ind w:left="372"/>
              <w:spacing w:after="0"/>
              <w:rPr>
                <w:sz w:val="20"/>
                <w:szCs w:val="20"/>
                <w:color w:val="auto"/>
              </w:rPr>
            </w:pPr>
            <w:r>
              <w:rPr>
                <w:rFonts w:ascii="Arial" w:cs="Arial" w:eastAsia="Arial" w:hAnsi="Arial"/>
                <w:sz w:val="10"/>
                <w:szCs w:val="10"/>
                <w:b w:val="1"/>
                <w:bCs w:val="1"/>
                <w:color w:val="05445E"/>
                <w:w w:val="91"/>
              </w:rPr>
              <w:t>Vested</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05445E"/>
                <w:w w:val="97"/>
              </w:rPr>
              <w:t>Vested</w:t>
            </w:r>
          </w:p>
        </w:tc>
        <w:tc>
          <w:tcPr>
            <w:tcW w:w="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05445E"/>
                <w:w w:val="95"/>
              </w:rPr>
              <w:t>Not Vested</w:t>
            </w:r>
          </w:p>
        </w:tc>
        <w:tc>
          <w:tcPr>
            <w:tcW w:w="0" w:type="dxa"/>
            <w:vAlign w:val="bottom"/>
          </w:tcPr>
          <w:p>
            <w:pPr>
              <w:spacing w:after="0"/>
              <w:rPr>
                <w:sz w:val="1"/>
                <w:szCs w:val="1"/>
                <w:color w:val="auto"/>
              </w:rPr>
            </w:pPr>
          </w:p>
        </w:tc>
      </w:tr>
      <w:tr>
        <w:trPr>
          <w:trHeight w:val="143"/>
        </w:trPr>
        <w:tc>
          <w:tcPr>
            <w:tcW w:w="2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Name</w:t>
            </w:r>
          </w:p>
        </w:tc>
        <w:tc>
          <w:tcPr>
            <w:tcW w:w="160" w:type="dxa"/>
            <w:vAlign w:val="bottom"/>
            <w:tcBorders>
              <w:bottom w:val="single" w:sz="8" w:color="DBDBDB"/>
            </w:tcBorders>
          </w:tcPr>
          <w:p>
            <w:pPr>
              <w:spacing w:after="0"/>
              <w:rPr>
                <w:sz w:val="12"/>
                <w:szCs w:val="1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360" w:type="dxa"/>
            <w:vAlign w:val="bottom"/>
            <w:tcBorders>
              <w:bottom w:val="single" w:sz="8" w:color="D9D9D9"/>
            </w:tcBorders>
          </w:tcPr>
          <w:p>
            <w:pPr>
              <w:spacing w:after="0"/>
              <w:rPr>
                <w:sz w:val="12"/>
                <w:szCs w:val="12"/>
                <w:color w:val="auto"/>
              </w:rPr>
            </w:pPr>
          </w:p>
        </w:tc>
        <w:tc>
          <w:tcPr>
            <w:tcW w:w="1560" w:type="dxa"/>
            <w:vAlign w:val="bottom"/>
            <w:tcBorders>
              <w:bottom w:val="single" w:sz="8" w:color="auto"/>
            </w:tcBorders>
          </w:tcPr>
          <w:p>
            <w:pPr>
              <w:jc w:val="center"/>
              <w:ind w:left="372"/>
              <w:spacing w:after="0"/>
              <w:rPr>
                <w:sz w:val="20"/>
                <w:szCs w:val="20"/>
                <w:color w:val="auto"/>
              </w:rPr>
            </w:pPr>
            <w:r>
              <w:rPr>
                <w:rFonts w:ascii="Arial" w:cs="Arial" w:eastAsia="Arial" w:hAnsi="Arial"/>
                <w:sz w:val="10"/>
                <w:szCs w:val="10"/>
                <w:b w:val="1"/>
                <w:bCs w:val="1"/>
                <w:color w:val="05445E"/>
                <w:w w:val="81"/>
              </w:rPr>
              <w:t>($)</w:t>
            </w:r>
            <w:r>
              <w:rPr>
                <w:rFonts w:ascii="Arial" w:cs="Arial" w:eastAsia="Arial" w:hAnsi="Arial"/>
                <w:sz w:val="12"/>
                <w:szCs w:val="12"/>
                <w:b w:val="1"/>
                <w:bCs w:val="1"/>
                <w:color w:val="05445E"/>
                <w:w w:val="81"/>
                <w:vertAlign w:val="superscript"/>
              </w:rPr>
              <w:t>(1)</w:t>
            </w: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DBDBDB"/>
            </w:tcBorders>
          </w:tcPr>
          <w:p>
            <w:pPr>
              <w:spacing w:after="0"/>
              <w:rPr>
                <w:sz w:val="12"/>
                <w:szCs w:val="12"/>
                <w:color w:val="auto"/>
              </w:rPr>
            </w:pPr>
          </w:p>
        </w:tc>
        <w:tc>
          <w:tcPr>
            <w:tcW w:w="200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05445E"/>
                <w:w w:val="97"/>
                <w:vertAlign w:val="subscript"/>
              </w:rPr>
              <w:t>(#)</w:t>
            </w:r>
            <w:r>
              <w:rPr>
                <w:rFonts w:ascii="Arial" w:cs="Arial" w:eastAsia="Arial" w:hAnsi="Arial"/>
                <w:sz w:val="6"/>
                <w:szCs w:val="6"/>
                <w:b w:val="1"/>
                <w:bCs w:val="1"/>
                <w:color w:val="05445E"/>
                <w:w w:val="97"/>
              </w:rPr>
              <w:t>(2)</w:t>
            </w:r>
          </w:p>
        </w:tc>
        <w:tc>
          <w:tcPr>
            <w:tcW w:w="340" w:type="dxa"/>
            <w:vAlign w:val="bottom"/>
            <w:tcBorders>
              <w:bottom w:val="single" w:sz="8" w:color="D9D9D9"/>
            </w:tcBorders>
          </w:tcPr>
          <w:p>
            <w:pPr>
              <w:spacing w:after="0"/>
              <w:rPr>
                <w:sz w:val="12"/>
                <w:szCs w:val="1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0"/>
              </w:rPr>
              <w:t>($)</w:t>
            </w:r>
            <w:r>
              <w:rPr>
                <w:rFonts w:ascii="Arial" w:cs="Arial" w:eastAsia="Arial" w:hAnsi="Arial"/>
                <w:sz w:val="12"/>
                <w:szCs w:val="12"/>
                <w:b w:val="1"/>
                <w:bCs w:val="1"/>
                <w:color w:val="05445E"/>
                <w:w w:val="90"/>
                <w:vertAlign w:val="superscript"/>
              </w:rPr>
              <w:t>(1)</w:t>
            </w:r>
          </w:p>
        </w:tc>
        <w:tc>
          <w:tcPr>
            <w:tcW w:w="0" w:type="dxa"/>
            <w:vAlign w:val="bottom"/>
          </w:tcPr>
          <w:p>
            <w:pPr>
              <w:spacing w:after="0"/>
              <w:rPr>
                <w:sz w:val="1"/>
                <w:szCs w:val="1"/>
                <w:color w:val="auto"/>
              </w:rPr>
            </w:pPr>
          </w:p>
        </w:tc>
      </w:tr>
      <w:tr>
        <w:trPr>
          <w:trHeight w:val="63"/>
        </w:trPr>
        <w:tc>
          <w:tcPr>
            <w:tcW w:w="2160" w:type="dxa"/>
            <w:vAlign w:val="bottom"/>
            <w:vMerge w:val="restart"/>
            <w:shd w:val="clear" w:color="auto" w:fill="D9D9D9"/>
          </w:tcPr>
          <w:p>
            <w:pPr>
              <w:spacing w:after="0"/>
              <w:rPr>
                <w:sz w:val="20"/>
                <w:szCs w:val="20"/>
                <w:color w:val="auto"/>
              </w:rPr>
            </w:pPr>
            <w:r>
              <w:rPr>
                <w:rFonts w:ascii="Arial" w:cs="Arial" w:eastAsia="Arial" w:hAnsi="Arial"/>
                <w:sz w:val="10"/>
                <w:szCs w:val="10"/>
                <w:color w:val="auto"/>
              </w:rPr>
              <w:t>Donald A.</w:t>
            </w:r>
          </w:p>
        </w:tc>
        <w:tc>
          <w:tcPr>
            <w:tcW w:w="2040" w:type="dxa"/>
            <w:vAlign w:val="bottom"/>
            <w:gridSpan w:val="2"/>
            <w:vMerge w:val="restart"/>
            <w:shd w:val="clear" w:color="auto" w:fill="DBDBDB"/>
          </w:tcPr>
          <w:p>
            <w:pPr>
              <w:jc w:val="center"/>
              <w:ind w:left="112"/>
              <w:spacing w:after="0"/>
              <w:rPr>
                <w:sz w:val="20"/>
                <w:szCs w:val="20"/>
                <w:color w:val="auto"/>
              </w:rPr>
            </w:pPr>
            <w:r>
              <w:rPr>
                <w:rFonts w:ascii="Arial" w:cs="Arial" w:eastAsia="Arial" w:hAnsi="Arial"/>
                <w:sz w:val="10"/>
                <w:szCs w:val="10"/>
                <w:color w:val="auto"/>
                <w:w w:val="91"/>
              </w:rPr>
              <w:t>49,240</w:t>
            </w:r>
          </w:p>
        </w:tc>
        <w:tc>
          <w:tcPr>
            <w:tcW w:w="360" w:type="dxa"/>
            <w:vAlign w:val="bottom"/>
            <w:shd w:val="clear" w:color="auto" w:fill="D9D9D9"/>
          </w:tcPr>
          <w:p>
            <w:pPr>
              <w:jc w:val="right"/>
              <w:spacing w:after="0" w:line="63" w:lineRule="exact"/>
              <w:rPr>
                <w:sz w:val="20"/>
                <w:szCs w:val="20"/>
                <w:color w:val="auto"/>
              </w:rPr>
            </w:pPr>
            <w:r>
              <w:rPr>
                <w:rFonts w:ascii="Arial" w:cs="Arial" w:eastAsia="Arial" w:hAnsi="Arial"/>
                <w:sz w:val="6"/>
                <w:szCs w:val="6"/>
                <w:color w:val="auto"/>
              </w:rPr>
              <w:t>(3)</w:t>
            </w: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4"/>
              </w:rPr>
              <w:t>1,960,737</w:t>
            </w:r>
          </w:p>
        </w:tc>
        <w:tc>
          <w:tcPr>
            <w:tcW w:w="420" w:type="dxa"/>
            <w:vAlign w:val="bottom"/>
            <w:shd w:val="clear" w:color="auto" w:fill="DBDBDB"/>
          </w:tcPr>
          <w:p>
            <w:pPr>
              <w:spacing w:after="0"/>
              <w:rPr>
                <w:sz w:val="5"/>
                <w:szCs w:val="5"/>
                <w:color w:val="auto"/>
              </w:rPr>
            </w:pPr>
          </w:p>
        </w:tc>
        <w:tc>
          <w:tcPr>
            <w:tcW w:w="380" w:type="dxa"/>
            <w:vAlign w:val="bottom"/>
            <w:shd w:val="clear" w:color="auto" w:fill="DBDBDB"/>
          </w:tcPr>
          <w:p>
            <w:pPr>
              <w:spacing w:after="0"/>
              <w:rPr>
                <w:sz w:val="5"/>
                <w:szCs w:val="5"/>
                <w:color w:val="auto"/>
              </w:rPr>
            </w:pPr>
          </w:p>
        </w:tc>
        <w:tc>
          <w:tcPr>
            <w:tcW w:w="2000" w:type="dxa"/>
            <w:vAlign w:val="bottom"/>
            <w:vMerge w:val="restart"/>
            <w:shd w:val="clear" w:color="auto" w:fill="D9D9D9"/>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shd w:val="clear" w:color="auto" w:fill="D9D9D9"/>
          </w:tcPr>
          <w:p>
            <w:pPr>
              <w:spacing w:after="0"/>
              <w:rPr>
                <w:sz w:val="5"/>
                <w:szCs w:val="5"/>
                <w:color w:val="auto"/>
              </w:rPr>
            </w:pPr>
          </w:p>
        </w:tc>
        <w:tc>
          <w:tcPr>
            <w:tcW w:w="1880" w:type="dxa"/>
            <w:vAlign w:val="bottom"/>
            <w:vMerge w:val="restart"/>
            <w:shd w:val="clear" w:color="auto" w:fill="D9D9D9"/>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6"/>
        </w:trPr>
        <w:tc>
          <w:tcPr>
            <w:tcW w:w="2160" w:type="dxa"/>
            <w:vAlign w:val="bottom"/>
            <w:vMerge w:val="continue"/>
            <w:shd w:val="clear" w:color="auto" w:fill="D9D9D9"/>
          </w:tcPr>
          <w:p>
            <w:pPr>
              <w:spacing w:after="0"/>
              <w:rPr>
                <w:sz w:val="4"/>
                <w:szCs w:val="4"/>
                <w:color w:val="auto"/>
              </w:rPr>
            </w:pPr>
          </w:p>
        </w:tc>
        <w:tc>
          <w:tcPr>
            <w:tcW w:w="2040" w:type="dxa"/>
            <w:vAlign w:val="bottom"/>
            <w:gridSpan w:val="2"/>
            <w:vMerge w:val="continue"/>
            <w:shd w:val="clear" w:color="auto" w:fill="DBDBDB"/>
          </w:tcPr>
          <w:p>
            <w:pPr>
              <w:spacing w:after="0"/>
              <w:rPr>
                <w:sz w:val="4"/>
                <w:szCs w:val="4"/>
                <w:color w:val="auto"/>
              </w:rPr>
            </w:pPr>
          </w:p>
        </w:tc>
        <w:tc>
          <w:tcPr>
            <w:tcW w:w="360" w:type="dxa"/>
            <w:vAlign w:val="bottom"/>
            <w:shd w:val="clear" w:color="auto" w:fill="D9D9D9"/>
          </w:tcPr>
          <w:p>
            <w:pPr>
              <w:spacing w:after="0"/>
              <w:rPr>
                <w:sz w:val="4"/>
                <w:szCs w:val="4"/>
                <w:color w:val="auto"/>
              </w:rPr>
            </w:pPr>
          </w:p>
        </w:tc>
        <w:tc>
          <w:tcPr>
            <w:tcW w:w="15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2000" w:type="dxa"/>
            <w:vAlign w:val="bottom"/>
            <w:vMerge w:val="continue"/>
            <w:shd w:val="clear" w:color="auto" w:fill="D9D9D9"/>
          </w:tcPr>
          <w:p>
            <w:pPr>
              <w:spacing w:after="0"/>
              <w:rPr>
                <w:sz w:val="4"/>
                <w:szCs w:val="4"/>
                <w:color w:val="auto"/>
              </w:rPr>
            </w:pPr>
          </w:p>
        </w:tc>
        <w:tc>
          <w:tcPr>
            <w:tcW w:w="340" w:type="dxa"/>
            <w:vAlign w:val="bottom"/>
            <w:shd w:val="clear" w:color="auto" w:fill="D9D9D9"/>
          </w:tcPr>
          <w:p>
            <w:pPr>
              <w:spacing w:after="0"/>
              <w:rPr>
                <w:sz w:val="4"/>
                <w:szCs w:val="4"/>
                <w:color w:val="auto"/>
              </w:rPr>
            </w:pPr>
          </w:p>
        </w:tc>
        <w:tc>
          <w:tcPr>
            <w:tcW w:w="188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0"/>
                <w:szCs w:val="10"/>
                <w:color w:val="auto"/>
              </w:rPr>
              <w:t>Nolan</w:t>
            </w:r>
          </w:p>
        </w:tc>
        <w:tc>
          <w:tcPr>
            <w:tcW w:w="160" w:type="dxa"/>
            <w:vAlign w:val="bottom"/>
            <w:tcBorders>
              <w:bottom w:val="single" w:sz="8" w:color="DBDBDB"/>
            </w:tcBorders>
            <w:shd w:val="clear" w:color="auto" w:fill="DBDBDB"/>
          </w:tcPr>
          <w:p>
            <w:pPr>
              <w:spacing w:after="0"/>
              <w:rPr>
                <w:sz w:val="11"/>
                <w:szCs w:val="11"/>
                <w:color w:val="auto"/>
              </w:rPr>
            </w:pPr>
          </w:p>
        </w:tc>
        <w:tc>
          <w:tcPr>
            <w:tcW w:w="1880" w:type="dxa"/>
            <w:vAlign w:val="bottom"/>
            <w:tcBorders>
              <w:bottom w:val="single" w:sz="8" w:color="DBDBDB"/>
            </w:tcBorders>
            <w:shd w:val="clear" w:color="auto" w:fill="DBDBDB"/>
          </w:tcPr>
          <w:p>
            <w:pPr>
              <w:spacing w:after="0"/>
              <w:rPr>
                <w:sz w:val="11"/>
                <w:szCs w:val="11"/>
                <w:color w:val="auto"/>
              </w:rPr>
            </w:pPr>
          </w:p>
        </w:tc>
        <w:tc>
          <w:tcPr>
            <w:tcW w:w="360" w:type="dxa"/>
            <w:vAlign w:val="bottom"/>
            <w:tcBorders>
              <w:bottom w:val="single" w:sz="8" w:color="D9D9D9"/>
            </w:tcBorders>
            <w:shd w:val="clear" w:color="auto" w:fill="D9D9D9"/>
          </w:tcPr>
          <w:p>
            <w:pPr>
              <w:spacing w:after="0"/>
              <w:rPr>
                <w:sz w:val="11"/>
                <w:szCs w:val="11"/>
                <w:color w:val="auto"/>
              </w:rPr>
            </w:pPr>
          </w:p>
        </w:tc>
        <w:tc>
          <w:tcPr>
            <w:tcW w:w="1560" w:type="dxa"/>
            <w:vAlign w:val="bottom"/>
            <w:tcBorders>
              <w:bottom w:val="single" w:sz="8" w:color="DBDBDB"/>
            </w:tcBorders>
            <w:shd w:val="clear" w:color="auto" w:fill="DBDBDB"/>
          </w:tcPr>
          <w:p>
            <w:pPr>
              <w:spacing w:after="0"/>
              <w:rPr>
                <w:sz w:val="11"/>
                <w:szCs w:val="11"/>
                <w:color w:val="auto"/>
              </w:rPr>
            </w:pPr>
          </w:p>
        </w:tc>
        <w:tc>
          <w:tcPr>
            <w:tcW w:w="420" w:type="dxa"/>
            <w:vAlign w:val="bottom"/>
            <w:tcBorders>
              <w:bottom w:val="single" w:sz="8" w:color="DBDBDB"/>
            </w:tcBorders>
            <w:shd w:val="clear" w:color="auto" w:fill="DBDBDB"/>
          </w:tcPr>
          <w:p>
            <w:pPr>
              <w:spacing w:after="0"/>
              <w:rPr>
                <w:sz w:val="11"/>
                <w:szCs w:val="11"/>
                <w:color w:val="auto"/>
              </w:rPr>
            </w:pPr>
          </w:p>
        </w:tc>
        <w:tc>
          <w:tcPr>
            <w:tcW w:w="380" w:type="dxa"/>
            <w:vAlign w:val="bottom"/>
            <w:tcBorders>
              <w:bottom w:val="single" w:sz="8" w:color="DBDBDB"/>
            </w:tcBorders>
            <w:shd w:val="clear" w:color="auto" w:fill="DBDBDB"/>
          </w:tcPr>
          <w:p>
            <w:pPr>
              <w:spacing w:after="0"/>
              <w:rPr>
                <w:sz w:val="11"/>
                <w:szCs w:val="11"/>
                <w:color w:val="auto"/>
              </w:rPr>
            </w:pPr>
          </w:p>
        </w:tc>
        <w:tc>
          <w:tcPr>
            <w:tcW w:w="2000" w:type="dxa"/>
            <w:vAlign w:val="bottom"/>
            <w:tcBorders>
              <w:bottom w:val="single" w:sz="8" w:color="D9D9D9"/>
            </w:tcBorders>
            <w:shd w:val="clear" w:color="auto" w:fill="D9D9D9"/>
          </w:tcPr>
          <w:p>
            <w:pPr>
              <w:spacing w:after="0"/>
              <w:rPr>
                <w:sz w:val="11"/>
                <w:szCs w:val="11"/>
                <w:color w:val="auto"/>
              </w:rPr>
            </w:pPr>
          </w:p>
        </w:tc>
        <w:tc>
          <w:tcPr>
            <w:tcW w:w="340" w:type="dxa"/>
            <w:vAlign w:val="bottom"/>
            <w:tcBorders>
              <w:bottom w:val="single" w:sz="8" w:color="D9D9D9"/>
            </w:tcBorders>
            <w:shd w:val="clear" w:color="auto" w:fill="D9D9D9"/>
          </w:tcPr>
          <w:p>
            <w:pPr>
              <w:spacing w:after="0"/>
              <w:rPr>
                <w:sz w:val="11"/>
                <w:szCs w:val="11"/>
                <w:color w:val="auto"/>
              </w:rPr>
            </w:pPr>
          </w:p>
        </w:tc>
        <w:tc>
          <w:tcPr>
            <w:tcW w:w="1880" w:type="dxa"/>
            <w:vAlign w:val="bottom"/>
            <w:tcBorders>
              <w:bottom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60" w:type="dxa"/>
            <w:vAlign w:val="bottom"/>
            <w:vMerge w:val="restart"/>
          </w:tcPr>
          <w:p>
            <w:pPr>
              <w:spacing w:after="0"/>
              <w:rPr>
                <w:sz w:val="20"/>
                <w:szCs w:val="20"/>
                <w:color w:val="auto"/>
              </w:rPr>
            </w:pPr>
            <w:r>
              <w:rPr>
                <w:rFonts w:ascii="Arial" w:cs="Arial" w:eastAsia="Arial" w:hAnsi="Arial"/>
                <w:sz w:val="10"/>
                <w:szCs w:val="10"/>
                <w:color w:val="auto"/>
              </w:rPr>
              <w:t>Mark R.</w:t>
            </w:r>
          </w:p>
        </w:tc>
        <w:tc>
          <w:tcPr>
            <w:tcW w:w="160" w:type="dxa"/>
            <w:vAlign w:val="bottom"/>
          </w:tcPr>
          <w:p>
            <w:pPr>
              <w:spacing w:after="0"/>
              <w:rPr>
                <w:sz w:val="7"/>
                <w:szCs w:val="7"/>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tcPr>
          <w:p>
            <w:pPr>
              <w:spacing w:after="0"/>
              <w:rPr>
                <w:sz w:val="7"/>
                <w:szCs w:val="7"/>
                <w:color w:val="auto"/>
              </w:rPr>
            </w:pP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tcPr>
          <w:p>
            <w:pPr>
              <w:jc w:val="center"/>
              <w:ind w:left="752"/>
              <w:spacing w:after="0"/>
              <w:rPr>
                <w:sz w:val="20"/>
                <w:szCs w:val="20"/>
                <w:color w:val="auto"/>
              </w:rPr>
            </w:pPr>
            <w:r>
              <w:rPr>
                <w:rFonts w:ascii="Arial" w:cs="Arial" w:eastAsia="Arial" w:hAnsi="Arial"/>
                <w:sz w:val="10"/>
                <w:szCs w:val="10"/>
                <w:color w:val="auto"/>
                <w:w w:val="95"/>
              </w:rPr>
              <w:t>1,081</w:t>
            </w:r>
          </w:p>
        </w:tc>
        <w:tc>
          <w:tcPr>
            <w:tcW w:w="340" w:type="dxa"/>
            <w:vAlign w:val="bottom"/>
          </w:tcPr>
          <w:p>
            <w:pPr>
              <w:jc w:val="right"/>
              <w:spacing w:after="0"/>
              <w:rPr>
                <w:sz w:val="20"/>
                <w:szCs w:val="20"/>
                <w:color w:val="auto"/>
              </w:rPr>
            </w:pPr>
            <w:r>
              <w:rPr>
                <w:rFonts w:ascii="Arial" w:cs="Arial" w:eastAsia="Arial" w:hAnsi="Arial"/>
                <w:sz w:val="6"/>
                <w:szCs w:val="6"/>
                <w:color w:val="auto"/>
              </w:rPr>
              <w:t>(4)</w:t>
            </w: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7"/>
              </w:rPr>
              <w:t>43,045</w:t>
            </w:r>
          </w:p>
        </w:tc>
        <w:tc>
          <w:tcPr>
            <w:tcW w:w="0" w:type="dxa"/>
            <w:vAlign w:val="bottom"/>
          </w:tcPr>
          <w:p>
            <w:pPr>
              <w:spacing w:after="0"/>
              <w:rPr>
                <w:sz w:val="1"/>
                <w:szCs w:val="1"/>
                <w:color w:val="auto"/>
              </w:rPr>
            </w:pPr>
          </w:p>
        </w:tc>
      </w:tr>
      <w:tr>
        <w:trPr>
          <w:trHeight w:val="47"/>
        </w:trPr>
        <w:tc>
          <w:tcPr>
            <w:tcW w:w="2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28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20"/>
                <w:szCs w:val="20"/>
                <w:color w:val="auto"/>
              </w:rPr>
            </w:pPr>
            <w:r>
              <w:rPr>
                <w:rFonts w:ascii="Arial" w:cs="Arial" w:eastAsia="Arial" w:hAnsi="Arial"/>
                <w:sz w:val="10"/>
                <w:szCs w:val="10"/>
                <w:color w:val="auto"/>
              </w:rPr>
              <w:t>Augdahl</w:t>
            </w:r>
          </w:p>
        </w:tc>
        <w:tc>
          <w:tcPr>
            <w:tcW w:w="16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tcPr>
          <w:p>
            <w:pPr>
              <w:spacing w:after="0"/>
              <w:rPr>
                <w:sz w:val="10"/>
                <w:szCs w:val="10"/>
                <w:color w:val="auto"/>
              </w:rPr>
            </w:pP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tcPr>
          <w:p>
            <w:pPr>
              <w:jc w:val="center"/>
              <w:ind w:left="752"/>
              <w:spacing w:after="0"/>
              <w:rPr>
                <w:sz w:val="20"/>
                <w:szCs w:val="20"/>
                <w:color w:val="auto"/>
              </w:rPr>
            </w:pPr>
            <w:r>
              <w:rPr>
                <w:rFonts w:ascii="Arial" w:cs="Arial" w:eastAsia="Arial" w:hAnsi="Arial"/>
                <w:sz w:val="10"/>
                <w:szCs w:val="10"/>
                <w:color w:val="auto"/>
                <w:w w:val="95"/>
              </w:rPr>
              <w:t>688</w:t>
            </w:r>
          </w:p>
        </w:tc>
        <w:tc>
          <w:tcPr>
            <w:tcW w:w="340" w:type="dxa"/>
            <w:vAlign w:val="bottom"/>
          </w:tcPr>
          <w:p>
            <w:pPr>
              <w:jc w:val="right"/>
              <w:spacing w:after="0"/>
              <w:rPr>
                <w:sz w:val="20"/>
                <w:szCs w:val="20"/>
                <w:color w:val="auto"/>
              </w:rPr>
            </w:pPr>
            <w:r>
              <w:rPr>
                <w:rFonts w:ascii="Arial" w:cs="Arial" w:eastAsia="Arial" w:hAnsi="Arial"/>
                <w:sz w:val="6"/>
                <w:szCs w:val="6"/>
                <w:color w:val="auto"/>
              </w:rPr>
              <w:t>(5)</w:t>
            </w: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7"/>
              </w:rPr>
              <w:t>27,396</w:t>
            </w:r>
          </w:p>
        </w:tc>
        <w:tc>
          <w:tcPr>
            <w:tcW w:w="0" w:type="dxa"/>
            <w:vAlign w:val="bottom"/>
          </w:tcPr>
          <w:p>
            <w:pPr>
              <w:spacing w:after="0"/>
              <w:rPr>
                <w:sz w:val="1"/>
                <w:szCs w:val="1"/>
                <w:color w:val="auto"/>
              </w:rPr>
            </w:pPr>
          </w:p>
        </w:tc>
      </w:tr>
      <w:tr>
        <w:trPr>
          <w:trHeight w:val="36"/>
        </w:trPr>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280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8"/>
        </w:trPr>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tcPr>
          <w:p>
            <w:pPr>
              <w:spacing w:after="0"/>
              <w:rPr>
                <w:sz w:val="8"/>
                <w:szCs w:val="8"/>
                <w:color w:val="auto"/>
              </w:rPr>
            </w:pP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tcPr>
          <w:p>
            <w:pPr>
              <w:jc w:val="center"/>
              <w:ind w:left="752"/>
              <w:spacing w:after="0"/>
              <w:rPr>
                <w:sz w:val="20"/>
                <w:szCs w:val="20"/>
                <w:color w:val="auto"/>
              </w:rPr>
            </w:pPr>
            <w:r>
              <w:rPr>
                <w:rFonts w:ascii="Arial" w:cs="Arial" w:eastAsia="Arial" w:hAnsi="Arial"/>
                <w:sz w:val="10"/>
                <w:szCs w:val="10"/>
                <w:color w:val="auto"/>
                <w:w w:val="95"/>
              </w:rPr>
              <w:t>1,935</w:t>
            </w:r>
          </w:p>
        </w:tc>
        <w:tc>
          <w:tcPr>
            <w:tcW w:w="340" w:type="dxa"/>
            <w:vAlign w:val="bottom"/>
          </w:tcPr>
          <w:p>
            <w:pPr>
              <w:jc w:val="right"/>
              <w:spacing w:after="0"/>
              <w:rPr>
                <w:sz w:val="20"/>
                <w:szCs w:val="20"/>
                <w:color w:val="auto"/>
              </w:rPr>
            </w:pPr>
            <w:r>
              <w:rPr>
                <w:rFonts w:ascii="Arial" w:cs="Arial" w:eastAsia="Arial" w:hAnsi="Arial"/>
                <w:sz w:val="6"/>
                <w:szCs w:val="6"/>
                <w:color w:val="auto"/>
              </w:rPr>
              <w:t>(6)</w:t>
            </w: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7"/>
              </w:rPr>
              <w:t>77,052</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28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445</w:t>
            </w:r>
          </w:p>
        </w:tc>
        <w:tc>
          <w:tcPr>
            <w:tcW w:w="360" w:type="dxa"/>
            <w:vAlign w:val="bottom"/>
          </w:tcPr>
          <w:p>
            <w:pPr>
              <w:jc w:val="right"/>
              <w:spacing w:after="0"/>
              <w:rPr>
                <w:sz w:val="20"/>
                <w:szCs w:val="20"/>
                <w:color w:val="auto"/>
              </w:rPr>
            </w:pPr>
            <w:r>
              <w:rPr>
                <w:rFonts w:ascii="Arial" w:cs="Arial" w:eastAsia="Arial" w:hAnsi="Arial"/>
                <w:sz w:val="6"/>
                <w:szCs w:val="6"/>
                <w:color w:val="auto"/>
              </w:rPr>
              <w:t>(7)</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7"/>
              </w:rPr>
              <w:t>17,720</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1,136</w:t>
            </w:r>
          </w:p>
        </w:tc>
        <w:tc>
          <w:tcPr>
            <w:tcW w:w="360" w:type="dxa"/>
            <w:vAlign w:val="bottom"/>
          </w:tcPr>
          <w:p>
            <w:pPr>
              <w:jc w:val="right"/>
              <w:spacing w:after="0"/>
              <w:rPr>
                <w:sz w:val="20"/>
                <w:szCs w:val="20"/>
                <w:color w:val="auto"/>
              </w:rPr>
            </w:pPr>
            <w:r>
              <w:rPr>
                <w:rFonts w:ascii="Arial" w:cs="Arial" w:eastAsia="Arial" w:hAnsi="Arial"/>
                <w:sz w:val="6"/>
                <w:szCs w:val="6"/>
                <w:color w:val="auto"/>
              </w:rPr>
              <w:t>(8)</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7"/>
              </w:rPr>
              <w:t>45,236</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401</w:t>
            </w:r>
          </w:p>
        </w:tc>
        <w:tc>
          <w:tcPr>
            <w:tcW w:w="360" w:type="dxa"/>
            <w:vAlign w:val="bottom"/>
          </w:tcPr>
          <w:p>
            <w:pPr>
              <w:jc w:val="right"/>
              <w:spacing w:after="0"/>
              <w:rPr>
                <w:sz w:val="20"/>
                <w:szCs w:val="20"/>
                <w:color w:val="auto"/>
              </w:rPr>
            </w:pPr>
            <w:r>
              <w:rPr>
                <w:rFonts w:ascii="Arial" w:cs="Arial" w:eastAsia="Arial" w:hAnsi="Arial"/>
                <w:sz w:val="6"/>
                <w:szCs w:val="6"/>
                <w:color w:val="auto"/>
              </w:rPr>
              <w:t>(9)</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7"/>
              </w:rPr>
              <w:t>15,968</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1,834</w:t>
            </w:r>
          </w:p>
        </w:tc>
        <w:tc>
          <w:tcPr>
            <w:tcW w:w="360" w:type="dxa"/>
            <w:vAlign w:val="bottom"/>
          </w:tcPr>
          <w:p>
            <w:pPr>
              <w:jc w:val="right"/>
              <w:spacing w:after="0"/>
              <w:rPr>
                <w:sz w:val="20"/>
                <w:szCs w:val="20"/>
                <w:color w:val="auto"/>
              </w:rPr>
            </w:pPr>
            <w:r>
              <w:rPr>
                <w:rFonts w:ascii="Arial" w:cs="Arial" w:eastAsia="Arial" w:hAnsi="Arial"/>
                <w:sz w:val="6"/>
                <w:szCs w:val="6"/>
                <w:color w:val="auto"/>
              </w:rPr>
              <w:t>(10)</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7"/>
              </w:rPr>
              <w:t>73,030</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3,870</w:t>
            </w:r>
          </w:p>
        </w:tc>
        <w:tc>
          <w:tcPr>
            <w:tcW w:w="360" w:type="dxa"/>
            <w:vAlign w:val="bottom"/>
          </w:tcPr>
          <w:p>
            <w:pPr>
              <w:jc w:val="right"/>
              <w:spacing w:after="0"/>
              <w:rPr>
                <w:sz w:val="20"/>
                <w:szCs w:val="20"/>
                <w:color w:val="auto"/>
              </w:rPr>
            </w:pPr>
            <w:r>
              <w:rPr>
                <w:rFonts w:ascii="Arial" w:cs="Arial" w:eastAsia="Arial" w:hAnsi="Arial"/>
                <w:sz w:val="6"/>
                <w:szCs w:val="6"/>
                <w:color w:val="auto"/>
              </w:rPr>
              <w:t>(11)</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3"/>
              </w:rPr>
              <w:t>154,103</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1"/>
              </w:rPr>
              <w:t>18,960</w:t>
            </w:r>
          </w:p>
        </w:tc>
        <w:tc>
          <w:tcPr>
            <w:tcW w:w="360" w:type="dxa"/>
            <w:vAlign w:val="bottom"/>
          </w:tcPr>
          <w:p>
            <w:pPr>
              <w:jc w:val="right"/>
              <w:spacing w:after="0"/>
              <w:rPr>
                <w:sz w:val="20"/>
                <w:szCs w:val="20"/>
                <w:color w:val="auto"/>
              </w:rPr>
            </w:pPr>
            <w:r>
              <w:rPr>
                <w:rFonts w:ascii="Arial" w:cs="Arial" w:eastAsia="Arial" w:hAnsi="Arial"/>
                <w:sz w:val="6"/>
                <w:szCs w:val="6"/>
                <w:color w:val="auto"/>
              </w:rPr>
              <w:t>(12)</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3"/>
              </w:rPr>
              <w:t>754,987</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160" w:type="dxa"/>
            <w:vAlign w:val="bottom"/>
            <w:vMerge w:val="restart"/>
            <w:shd w:val="clear" w:color="auto" w:fill="DBDBDB"/>
          </w:tcPr>
          <w:p>
            <w:pPr>
              <w:spacing w:after="0"/>
              <w:rPr>
                <w:sz w:val="20"/>
                <w:szCs w:val="20"/>
                <w:color w:val="auto"/>
              </w:rPr>
            </w:pPr>
            <w:r>
              <w:rPr>
                <w:rFonts w:ascii="Arial" w:cs="Arial" w:eastAsia="Arial" w:hAnsi="Arial"/>
                <w:sz w:val="10"/>
                <w:szCs w:val="10"/>
                <w:color w:val="auto"/>
              </w:rPr>
              <w:t>Troy R.</w:t>
            </w:r>
          </w:p>
        </w:tc>
        <w:tc>
          <w:tcPr>
            <w:tcW w:w="160" w:type="dxa"/>
            <w:vAlign w:val="bottom"/>
            <w:shd w:val="clear" w:color="auto" w:fill="DBDBDB"/>
          </w:tcPr>
          <w:p>
            <w:pPr>
              <w:spacing w:after="0"/>
              <w:rPr>
                <w:sz w:val="7"/>
                <w:szCs w:val="7"/>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shd w:val="clear" w:color="auto" w:fill="DBDBDB"/>
          </w:tcPr>
          <w:p>
            <w:pPr>
              <w:spacing w:after="0"/>
              <w:rPr>
                <w:sz w:val="7"/>
                <w:szCs w:val="7"/>
                <w:color w:val="auto"/>
              </w:rPr>
            </w:pP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shd w:val="clear" w:color="auto" w:fill="DBDBDB"/>
          </w:tcPr>
          <w:p>
            <w:pPr>
              <w:jc w:val="center"/>
              <w:ind w:left="752"/>
              <w:spacing w:after="0"/>
              <w:rPr>
                <w:sz w:val="20"/>
                <w:szCs w:val="20"/>
                <w:color w:val="auto"/>
              </w:rPr>
            </w:pPr>
            <w:r>
              <w:rPr>
                <w:rFonts w:ascii="Arial" w:cs="Arial" w:eastAsia="Arial" w:hAnsi="Arial"/>
                <w:sz w:val="10"/>
                <w:szCs w:val="10"/>
                <w:color w:val="auto"/>
                <w:w w:val="95"/>
              </w:rPr>
              <w:t>2,849</w:t>
            </w:r>
          </w:p>
        </w:tc>
        <w:tc>
          <w:tcPr>
            <w:tcW w:w="340" w:type="dxa"/>
            <w:vAlign w:val="bottom"/>
            <w:shd w:val="clear" w:color="auto" w:fill="D9D9D9"/>
          </w:tcPr>
          <w:p>
            <w:pPr>
              <w:jc w:val="right"/>
              <w:spacing w:after="0"/>
              <w:rPr>
                <w:sz w:val="20"/>
                <w:szCs w:val="20"/>
                <w:color w:val="auto"/>
              </w:rPr>
            </w:pPr>
            <w:r>
              <w:rPr>
                <w:rFonts w:ascii="Arial" w:cs="Arial" w:eastAsia="Arial" w:hAnsi="Arial"/>
                <w:sz w:val="6"/>
                <w:szCs w:val="6"/>
                <w:color w:val="auto"/>
              </w:rPr>
              <w:t>(4)</w:t>
            </w: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3"/>
              </w:rPr>
              <w:t>113,447</w:t>
            </w:r>
          </w:p>
        </w:tc>
        <w:tc>
          <w:tcPr>
            <w:tcW w:w="0" w:type="dxa"/>
            <w:vAlign w:val="bottom"/>
          </w:tcPr>
          <w:p>
            <w:pPr>
              <w:spacing w:after="0"/>
              <w:rPr>
                <w:sz w:val="1"/>
                <w:szCs w:val="1"/>
                <w:color w:val="auto"/>
              </w:rPr>
            </w:pPr>
          </w:p>
        </w:tc>
      </w:tr>
      <w:tr>
        <w:trPr>
          <w:trHeight w:val="47"/>
        </w:trPr>
        <w:tc>
          <w:tcPr>
            <w:tcW w:w="2160" w:type="dxa"/>
            <w:vAlign w:val="bottom"/>
            <w:vMerge w:val="continue"/>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60" w:type="dxa"/>
            <w:vAlign w:val="bottom"/>
            <w:vMerge w:val="continue"/>
            <w:shd w:val="clear" w:color="auto" w:fill="DBDBDB"/>
          </w:tcPr>
          <w:p>
            <w:pPr>
              <w:spacing w:after="0"/>
              <w:rPr>
                <w:sz w:val="4"/>
                <w:szCs w:val="4"/>
                <w:color w:val="auto"/>
              </w:rPr>
            </w:pPr>
          </w:p>
        </w:tc>
        <w:tc>
          <w:tcPr>
            <w:tcW w:w="2800" w:type="dxa"/>
            <w:vAlign w:val="bottom"/>
            <w:gridSpan w:val="3"/>
            <w:vMerge w:val="continue"/>
            <w:shd w:val="clear" w:color="auto" w:fill="DBDBDB"/>
          </w:tcPr>
          <w:p>
            <w:pPr>
              <w:spacing w:after="0"/>
              <w:rPr>
                <w:sz w:val="4"/>
                <w:szCs w:val="4"/>
                <w:color w:val="auto"/>
              </w:rPr>
            </w:pPr>
          </w:p>
        </w:tc>
        <w:tc>
          <w:tcPr>
            <w:tcW w:w="340" w:type="dxa"/>
            <w:vAlign w:val="bottom"/>
            <w:shd w:val="clear" w:color="auto" w:fill="D9D9D9"/>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DBDBDB"/>
          </w:tcPr>
          <w:p>
            <w:pPr>
              <w:spacing w:after="0"/>
              <w:rPr>
                <w:sz w:val="20"/>
                <w:szCs w:val="20"/>
                <w:color w:val="auto"/>
              </w:rPr>
            </w:pPr>
            <w:r>
              <w:rPr>
                <w:rFonts w:ascii="Arial" w:cs="Arial" w:eastAsia="Arial" w:hAnsi="Arial"/>
                <w:sz w:val="10"/>
                <w:szCs w:val="10"/>
                <w:color w:val="auto"/>
              </w:rPr>
              <w:t>Johnson</w:t>
            </w:r>
          </w:p>
        </w:tc>
        <w:tc>
          <w:tcPr>
            <w:tcW w:w="160" w:type="dxa"/>
            <w:vAlign w:val="bottom"/>
            <w:shd w:val="clear" w:color="auto" w:fill="DBDBDB"/>
          </w:tcPr>
          <w:p>
            <w:pPr>
              <w:spacing w:after="0"/>
              <w:rPr>
                <w:sz w:val="10"/>
                <w:szCs w:val="10"/>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shd w:val="clear" w:color="auto" w:fill="DBDBDB"/>
          </w:tcPr>
          <w:p>
            <w:pPr>
              <w:spacing w:after="0"/>
              <w:rPr>
                <w:sz w:val="10"/>
                <w:szCs w:val="10"/>
                <w:color w:val="auto"/>
              </w:rPr>
            </w:pP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shd w:val="clear" w:color="auto" w:fill="DBDBDB"/>
          </w:tcPr>
          <w:p>
            <w:pPr>
              <w:jc w:val="center"/>
              <w:ind w:left="752"/>
              <w:spacing w:after="0"/>
              <w:rPr>
                <w:sz w:val="20"/>
                <w:szCs w:val="20"/>
                <w:color w:val="auto"/>
              </w:rPr>
            </w:pPr>
            <w:r>
              <w:rPr>
                <w:rFonts w:ascii="Arial" w:cs="Arial" w:eastAsia="Arial" w:hAnsi="Arial"/>
                <w:sz w:val="10"/>
                <w:szCs w:val="10"/>
                <w:color w:val="auto"/>
                <w:w w:val="95"/>
              </w:rPr>
              <w:t>1,027</w:t>
            </w:r>
          </w:p>
        </w:tc>
        <w:tc>
          <w:tcPr>
            <w:tcW w:w="340" w:type="dxa"/>
            <w:vAlign w:val="bottom"/>
            <w:shd w:val="clear" w:color="auto" w:fill="D9D9D9"/>
          </w:tcPr>
          <w:p>
            <w:pPr>
              <w:jc w:val="right"/>
              <w:spacing w:after="0"/>
              <w:rPr>
                <w:sz w:val="20"/>
                <w:szCs w:val="20"/>
                <w:color w:val="auto"/>
              </w:rPr>
            </w:pPr>
            <w:r>
              <w:rPr>
                <w:rFonts w:ascii="Arial" w:cs="Arial" w:eastAsia="Arial" w:hAnsi="Arial"/>
                <w:sz w:val="6"/>
                <w:szCs w:val="6"/>
                <w:color w:val="auto"/>
              </w:rPr>
              <w:t>(5)</w:t>
            </w: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7"/>
              </w:rPr>
              <w:t>40,895</w:t>
            </w:r>
          </w:p>
        </w:tc>
        <w:tc>
          <w:tcPr>
            <w:tcW w:w="0" w:type="dxa"/>
            <w:vAlign w:val="bottom"/>
          </w:tcPr>
          <w:p>
            <w:pPr>
              <w:spacing w:after="0"/>
              <w:rPr>
                <w:sz w:val="1"/>
                <w:szCs w:val="1"/>
                <w:color w:val="auto"/>
              </w:rPr>
            </w:pPr>
          </w:p>
        </w:tc>
      </w:tr>
      <w:tr>
        <w:trPr>
          <w:trHeight w:val="36"/>
        </w:trPr>
        <w:tc>
          <w:tcPr>
            <w:tcW w:w="216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880" w:type="dxa"/>
            <w:vAlign w:val="bottom"/>
            <w:vMerge w:val="continue"/>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560" w:type="dxa"/>
            <w:vAlign w:val="bottom"/>
            <w:vMerge w:val="continue"/>
            <w:shd w:val="clear" w:color="auto" w:fill="DBDBDB"/>
          </w:tcPr>
          <w:p>
            <w:pPr>
              <w:spacing w:after="0"/>
              <w:rPr>
                <w:sz w:val="3"/>
                <w:szCs w:val="3"/>
                <w:color w:val="auto"/>
              </w:rPr>
            </w:pPr>
          </w:p>
        </w:tc>
        <w:tc>
          <w:tcPr>
            <w:tcW w:w="2800" w:type="dxa"/>
            <w:vAlign w:val="bottom"/>
            <w:gridSpan w:val="3"/>
            <w:vMerge w:val="continue"/>
            <w:shd w:val="clear" w:color="auto" w:fill="DBDBDB"/>
          </w:tcPr>
          <w:p>
            <w:pPr>
              <w:spacing w:after="0"/>
              <w:rPr>
                <w:sz w:val="3"/>
                <w:szCs w:val="3"/>
                <w:color w:val="auto"/>
              </w:rPr>
            </w:pPr>
          </w:p>
        </w:tc>
        <w:tc>
          <w:tcPr>
            <w:tcW w:w="340" w:type="dxa"/>
            <w:vAlign w:val="bottom"/>
            <w:shd w:val="clear" w:color="auto" w:fill="D9D9D9"/>
          </w:tcPr>
          <w:p>
            <w:pPr>
              <w:spacing w:after="0"/>
              <w:rPr>
                <w:sz w:val="3"/>
                <w:szCs w:val="3"/>
                <w:color w:val="auto"/>
              </w:rPr>
            </w:pPr>
          </w:p>
        </w:tc>
        <w:tc>
          <w:tcPr>
            <w:tcW w:w="1880" w:type="dxa"/>
            <w:vAlign w:val="bottom"/>
            <w:vMerge w:val="continue"/>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8"/>
        </w:trPr>
        <w:tc>
          <w:tcPr>
            <w:tcW w:w="21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shd w:val="clear" w:color="auto" w:fill="DBDBDB"/>
          </w:tcPr>
          <w:p>
            <w:pPr>
              <w:spacing w:after="0"/>
              <w:rPr>
                <w:sz w:val="8"/>
                <w:szCs w:val="8"/>
                <w:color w:val="auto"/>
              </w:rPr>
            </w:pP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shd w:val="clear" w:color="auto" w:fill="DBDBDB"/>
          </w:tcPr>
          <w:p>
            <w:pPr>
              <w:jc w:val="center"/>
              <w:ind w:left="752"/>
              <w:spacing w:after="0"/>
              <w:rPr>
                <w:sz w:val="20"/>
                <w:szCs w:val="20"/>
                <w:color w:val="auto"/>
              </w:rPr>
            </w:pPr>
            <w:r>
              <w:rPr>
                <w:rFonts w:ascii="Arial" w:cs="Arial" w:eastAsia="Arial" w:hAnsi="Arial"/>
                <w:sz w:val="10"/>
                <w:szCs w:val="10"/>
                <w:color w:val="auto"/>
                <w:w w:val="95"/>
              </w:rPr>
              <w:t>2,993</w:t>
            </w:r>
          </w:p>
        </w:tc>
        <w:tc>
          <w:tcPr>
            <w:tcW w:w="340" w:type="dxa"/>
            <w:vAlign w:val="bottom"/>
            <w:shd w:val="clear" w:color="auto" w:fill="D9D9D9"/>
          </w:tcPr>
          <w:p>
            <w:pPr>
              <w:jc w:val="right"/>
              <w:spacing w:after="0"/>
              <w:rPr>
                <w:sz w:val="20"/>
                <w:szCs w:val="20"/>
                <w:color w:val="auto"/>
              </w:rPr>
            </w:pPr>
            <w:r>
              <w:rPr>
                <w:rFonts w:ascii="Arial" w:cs="Arial" w:eastAsia="Arial" w:hAnsi="Arial"/>
                <w:sz w:val="6"/>
                <w:szCs w:val="6"/>
                <w:color w:val="auto"/>
              </w:rPr>
              <w:t>(6)</w:t>
            </w: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3"/>
              </w:rPr>
              <w:t>119,181</w:t>
            </w:r>
          </w:p>
        </w:tc>
        <w:tc>
          <w:tcPr>
            <w:tcW w:w="0" w:type="dxa"/>
            <w:vAlign w:val="bottom"/>
          </w:tcPr>
          <w:p>
            <w:pPr>
              <w:spacing w:after="0"/>
              <w:rPr>
                <w:sz w:val="1"/>
                <w:szCs w:val="1"/>
                <w:color w:val="auto"/>
              </w:rPr>
            </w:pPr>
          </w:p>
        </w:tc>
      </w:tr>
      <w:tr>
        <w:trPr>
          <w:trHeight w:val="70"/>
        </w:trPr>
        <w:tc>
          <w:tcPr>
            <w:tcW w:w="21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1560" w:type="dxa"/>
            <w:vAlign w:val="bottom"/>
            <w:vMerge w:val="continue"/>
            <w:shd w:val="clear" w:color="auto" w:fill="DBDBDB"/>
          </w:tcPr>
          <w:p>
            <w:pPr>
              <w:spacing w:after="0"/>
              <w:rPr>
                <w:sz w:val="6"/>
                <w:szCs w:val="6"/>
                <w:color w:val="auto"/>
              </w:rPr>
            </w:pPr>
          </w:p>
        </w:tc>
        <w:tc>
          <w:tcPr>
            <w:tcW w:w="2800" w:type="dxa"/>
            <w:vAlign w:val="bottom"/>
            <w:gridSpan w:val="3"/>
            <w:vMerge w:val="continue"/>
            <w:shd w:val="clear" w:color="auto" w:fill="DBDBDB"/>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1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1,899</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(8)</w:t>
            </w: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7"/>
              </w:rPr>
              <w:t>75,618</w:t>
            </w:r>
          </w:p>
        </w:tc>
        <w:tc>
          <w:tcPr>
            <w:tcW w:w="420" w:type="dxa"/>
            <w:vAlign w:val="bottom"/>
            <w:shd w:val="clear" w:color="auto" w:fill="DBDBDB"/>
          </w:tcPr>
          <w:p>
            <w:pPr>
              <w:spacing w:after="0"/>
              <w:rPr>
                <w:sz w:val="7"/>
                <w:szCs w:val="7"/>
                <w:color w:val="auto"/>
              </w:rPr>
            </w:pPr>
          </w:p>
        </w:tc>
        <w:tc>
          <w:tcPr>
            <w:tcW w:w="380" w:type="dxa"/>
            <w:vAlign w:val="bottom"/>
            <w:shd w:val="clear" w:color="auto" w:fill="DBDBDB"/>
          </w:tcPr>
          <w:p>
            <w:pPr>
              <w:spacing w:after="0"/>
              <w:rPr>
                <w:sz w:val="7"/>
                <w:szCs w:val="7"/>
                <w:color w:val="auto"/>
              </w:rPr>
            </w:pPr>
          </w:p>
        </w:tc>
        <w:tc>
          <w:tcPr>
            <w:tcW w:w="20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shd w:val="clear" w:color="auto" w:fill="DBDBDB"/>
          </w:tcPr>
          <w:p>
            <w:pPr>
              <w:spacing w:after="0"/>
              <w:rPr>
                <w:sz w:val="7"/>
                <w:szCs w:val="7"/>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200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2,053</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(10)</w:t>
            </w: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7"/>
              </w:rPr>
              <w:t>81,750</w:t>
            </w:r>
          </w:p>
        </w:tc>
        <w:tc>
          <w:tcPr>
            <w:tcW w:w="420" w:type="dxa"/>
            <w:vAlign w:val="bottom"/>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20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200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6,285</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(11)</w:t>
            </w: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3"/>
              </w:rPr>
              <w:t>250,269</w:t>
            </w:r>
          </w:p>
        </w:tc>
        <w:tc>
          <w:tcPr>
            <w:tcW w:w="420" w:type="dxa"/>
            <w:vAlign w:val="bottom"/>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20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200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8,553</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(13)</w:t>
            </w: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3"/>
              </w:rPr>
              <w:t>340,580</w:t>
            </w:r>
          </w:p>
        </w:tc>
        <w:tc>
          <w:tcPr>
            <w:tcW w:w="420" w:type="dxa"/>
            <w:vAlign w:val="bottom"/>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20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200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1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1"/>
              </w:rPr>
              <w:t>16,882</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(14)</w:t>
            </w:r>
          </w:p>
        </w:tc>
        <w:tc>
          <w:tcPr>
            <w:tcW w:w="1560" w:type="dxa"/>
            <w:vAlign w:val="bottom"/>
            <w:vMerge w:val="restart"/>
            <w:shd w:val="clear" w:color="auto" w:fill="DBDBDB"/>
          </w:tcPr>
          <w:p>
            <w:pPr>
              <w:jc w:val="center"/>
              <w:ind w:left="372"/>
              <w:spacing w:after="0"/>
              <w:rPr>
                <w:sz w:val="20"/>
                <w:szCs w:val="20"/>
                <w:color w:val="auto"/>
              </w:rPr>
            </w:pPr>
            <w:r>
              <w:rPr>
                <w:rFonts w:ascii="Arial" w:cs="Arial" w:eastAsia="Arial" w:hAnsi="Arial"/>
                <w:sz w:val="10"/>
                <w:szCs w:val="10"/>
                <w:color w:val="auto"/>
                <w:w w:val="93"/>
              </w:rPr>
              <w:t>672,241</w:t>
            </w:r>
          </w:p>
        </w:tc>
        <w:tc>
          <w:tcPr>
            <w:tcW w:w="420" w:type="dxa"/>
            <w:vAlign w:val="bottom"/>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20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shd w:val="clear" w:color="auto" w:fill="DBDBDB"/>
          </w:tcPr>
          <w:p>
            <w:pPr>
              <w:spacing w:after="0"/>
              <w:rPr>
                <w:sz w:val="8"/>
                <w:szCs w:val="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70"/>
        </w:trPr>
        <w:tc>
          <w:tcPr>
            <w:tcW w:w="21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1560" w:type="dxa"/>
            <w:vAlign w:val="bottom"/>
            <w:vMerge w:val="continue"/>
            <w:shd w:val="clear" w:color="auto" w:fill="DBDBDB"/>
          </w:tcPr>
          <w:p>
            <w:pPr>
              <w:spacing w:after="0"/>
              <w:rPr>
                <w:sz w:val="6"/>
                <w:szCs w:val="6"/>
                <w:color w:val="auto"/>
              </w:rPr>
            </w:pPr>
          </w:p>
        </w:tc>
        <w:tc>
          <w:tcPr>
            <w:tcW w:w="420" w:type="dxa"/>
            <w:vAlign w:val="bottom"/>
            <w:shd w:val="clear" w:color="auto" w:fill="DBDBDB"/>
          </w:tcPr>
          <w:p>
            <w:pPr>
              <w:spacing w:after="0"/>
              <w:rPr>
                <w:sz w:val="6"/>
                <w:szCs w:val="6"/>
                <w:color w:val="auto"/>
              </w:rPr>
            </w:pPr>
          </w:p>
        </w:tc>
        <w:tc>
          <w:tcPr>
            <w:tcW w:w="380" w:type="dxa"/>
            <w:vAlign w:val="bottom"/>
            <w:shd w:val="clear" w:color="auto" w:fill="DBDBDB"/>
          </w:tcPr>
          <w:p>
            <w:pPr>
              <w:spacing w:after="0"/>
              <w:rPr>
                <w:sz w:val="6"/>
                <w:szCs w:val="6"/>
                <w:color w:val="auto"/>
              </w:rPr>
            </w:pPr>
          </w:p>
        </w:tc>
        <w:tc>
          <w:tcPr>
            <w:tcW w:w="2000" w:type="dxa"/>
            <w:vAlign w:val="bottom"/>
            <w:vMerge w:val="continue"/>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160" w:type="dxa"/>
            <w:vAlign w:val="bottom"/>
            <w:vMerge w:val="restart"/>
          </w:tcPr>
          <w:p>
            <w:pPr>
              <w:spacing w:after="0"/>
              <w:rPr>
                <w:sz w:val="20"/>
                <w:szCs w:val="20"/>
                <w:color w:val="auto"/>
              </w:rPr>
            </w:pPr>
            <w:r>
              <w:rPr>
                <w:rFonts w:ascii="Arial" w:cs="Arial" w:eastAsia="Arial" w:hAnsi="Arial"/>
                <w:sz w:val="10"/>
                <w:szCs w:val="10"/>
                <w:color w:val="auto"/>
              </w:rPr>
              <w:t>Veena M.</w:t>
            </w:r>
          </w:p>
        </w:tc>
        <w:tc>
          <w:tcPr>
            <w:tcW w:w="160" w:type="dxa"/>
            <w:vAlign w:val="bottom"/>
          </w:tcPr>
          <w:p>
            <w:pPr>
              <w:spacing w:after="0"/>
              <w:rPr>
                <w:sz w:val="7"/>
                <w:szCs w:val="7"/>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60" w:type="dxa"/>
            <w:vAlign w:val="bottom"/>
          </w:tcPr>
          <w:p>
            <w:pPr>
              <w:spacing w:after="0"/>
              <w:rPr>
                <w:sz w:val="7"/>
                <w:szCs w:val="7"/>
                <w:color w:val="auto"/>
              </w:rPr>
            </w:pP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9"/>
              </w:rPr>
              <w:t>—</w:t>
            </w:r>
          </w:p>
        </w:tc>
        <w:tc>
          <w:tcPr>
            <w:tcW w:w="2800" w:type="dxa"/>
            <w:vAlign w:val="bottom"/>
            <w:gridSpan w:val="3"/>
            <w:vMerge w:val="restart"/>
          </w:tcPr>
          <w:p>
            <w:pPr>
              <w:jc w:val="center"/>
              <w:ind w:left="752"/>
              <w:spacing w:after="0"/>
              <w:rPr>
                <w:sz w:val="20"/>
                <w:szCs w:val="20"/>
                <w:color w:val="auto"/>
              </w:rPr>
            </w:pPr>
            <w:r>
              <w:rPr>
                <w:rFonts w:ascii="Arial" w:cs="Arial" w:eastAsia="Arial" w:hAnsi="Arial"/>
                <w:sz w:val="10"/>
                <w:szCs w:val="10"/>
                <w:color w:val="auto"/>
                <w:w w:val="95"/>
              </w:rPr>
              <w:t>3,618</w:t>
            </w:r>
          </w:p>
        </w:tc>
        <w:tc>
          <w:tcPr>
            <w:tcW w:w="340" w:type="dxa"/>
            <w:vAlign w:val="bottom"/>
          </w:tcPr>
          <w:p>
            <w:pPr>
              <w:jc w:val="right"/>
              <w:spacing w:after="0"/>
              <w:rPr>
                <w:sz w:val="20"/>
                <w:szCs w:val="20"/>
                <w:color w:val="auto"/>
              </w:rPr>
            </w:pPr>
            <w:r>
              <w:rPr>
                <w:rFonts w:ascii="Arial" w:cs="Arial" w:eastAsia="Arial" w:hAnsi="Arial"/>
                <w:sz w:val="6"/>
                <w:szCs w:val="6"/>
                <w:color w:val="auto"/>
              </w:rPr>
              <w:t>(6)</w:t>
            </w: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3"/>
              </w:rPr>
              <w:t>144,069</w:t>
            </w:r>
          </w:p>
        </w:tc>
        <w:tc>
          <w:tcPr>
            <w:tcW w:w="0" w:type="dxa"/>
            <w:vAlign w:val="bottom"/>
          </w:tcPr>
          <w:p>
            <w:pPr>
              <w:spacing w:after="0"/>
              <w:rPr>
                <w:sz w:val="1"/>
                <w:szCs w:val="1"/>
                <w:color w:val="auto"/>
              </w:rPr>
            </w:pPr>
          </w:p>
        </w:tc>
      </w:tr>
      <w:tr>
        <w:trPr>
          <w:trHeight w:val="47"/>
        </w:trPr>
        <w:tc>
          <w:tcPr>
            <w:tcW w:w="2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28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20"/>
                <w:szCs w:val="20"/>
                <w:color w:val="auto"/>
              </w:rPr>
            </w:pPr>
            <w:r>
              <w:rPr>
                <w:rFonts w:ascii="Arial" w:cs="Arial" w:eastAsia="Arial" w:hAnsi="Arial"/>
                <w:sz w:val="10"/>
                <w:szCs w:val="10"/>
                <w:color w:val="auto"/>
              </w:rPr>
              <w:t>Lakkundi</w:t>
            </w: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4,921</w:t>
            </w:r>
          </w:p>
        </w:tc>
        <w:tc>
          <w:tcPr>
            <w:tcW w:w="360" w:type="dxa"/>
            <w:vAlign w:val="bottom"/>
          </w:tcPr>
          <w:p>
            <w:pPr>
              <w:jc w:val="right"/>
              <w:spacing w:after="0"/>
              <w:rPr>
                <w:sz w:val="20"/>
                <w:szCs w:val="20"/>
                <w:color w:val="auto"/>
              </w:rPr>
            </w:pPr>
            <w:r>
              <w:rPr>
                <w:rFonts w:ascii="Arial" w:cs="Arial" w:eastAsia="Arial" w:hAnsi="Arial"/>
                <w:sz w:val="6"/>
                <w:szCs w:val="6"/>
                <w:color w:val="auto"/>
              </w:rPr>
              <w:t>(15)</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3"/>
              </w:rPr>
              <w:t>195,954</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5"/>
              </w:rPr>
              <w:t>7,959</w:t>
            </w:r>
          </w:p>
        </w:tc>
        <w:tc>
          <w:tcPr>
            <w:tcW w:w="360" w:type="dxa"/>
            <w:vAlign w:val="bottom"/>
          </w:tcPr>
          <w:p>
            <w:pPr>
              <w:jc w:val="right"/>
              <w:spacing w:after="0"/>
              <w:rPr>
                <w:sz w:val="20"/>
                <w:szCs w:val="20"/>
                <w:color w:val="auto"/>
              </w:rPr>
            </w:pPr>
            <w:r>
              <w:rPr>
                <w:rFonts w:ascii="Arial" w:cs="Arial" w:eastAsia="Arial" w:hAnsi="Arial"/>
                <w:sz w:val="6"/>
                <w:szCs w:val="6"/>
                <w:color w:val="auto"/>
              </w:rPr>
              <w:t>(11)</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3"/>
              </w:rPr>
              <w:t>316,927</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04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1"/>
              </w:rPr>
              <w:t>16,882</w:t>
            </w:r>
          </w:p>
        </w:tc>
        <w:tc>
          <w:tcPr>
            <w:tcW w:w="360" w:type="dxa"/>
            <w:vAlign w:val="bottom"/>
          </w:tcPr>
          <w:p>
            <w:pPr>
              <w:jc w:val="right"/>
              <w:spacing w:after="0"/>
              <w:rPr>
                <w:sz w:val="20"/>
                <w:szCs w:val="20"/>
                <w:color w:val="auto"/>
              </w:rPr>
            </w:pPr>
            <w:r>
              <w:rPr>
                <w:rFonts w:ascii="Arial" w:cs="Arial" w:eastAsia="Arial" w:hAnsi="Arial"/>
                <w:sz w:val="6"/>
                <w:szCs w:val="6"/>
                <w:color w:val="auto"/>
              </w:rPr>
              <w:t>(14)</w:t>
            </w:r>
          </w:p>
        </w:tc>
        <w:tc>
          <w:tcPr>
            <w:tcW w:w="1560" w:type="dxa"/>
            <w:vAlign w:val="bottom"/>
            <w:vMerge w:val="restart"/>
          </w:tcPr>
          <w:p>
            <w:pPr>
              <w:jc w:val="center"/>
              <w:ind w:left="372"/>
              <w:spacing w:after="0"/>
              <w:rPr>
                <w:sz w:val="20"/>
                <w:szCs w:val="20"/>
                <w:color w:val="auto"/>
              </w:rPr>
            </w:pPr>
            <w:r>
              <w:rPr>
                <w:rFonts w:ascii="Arial" w:cs="Arial" w:eastAsia="Arial" w:hAnsi="Arial"/>
                <w:sz w:val="10"/>
                <w:szCs w:val="10"/>
                <w:color w:val="auto"/>
                <w:w w:val="93"/>
              </w:rPr>
              <w:t>672,241</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34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61" w:name="page62"/>
    <w:bookmarkEnd w:id="61"/>
    <w:p>
      <w:pPr>
        <w:jc w:val="center"/>
        <w:ind w:right="152"/>
        <w:spacing w:after="0"/>
        <w:rPr>
          <w:sz w:val="20"/>
          <w:szCs w:val="20"/>
          <w:color w:val="auto"/>
        </w:rPr>
      </w:pPr>
      <w:r>
        <w:rPr>
          <w:rFonts w:ascii="Arial" w:cs="Arial" w:eastAsia="Arial" w:hAnsi="Arial"/>
          <w:sz w:val="10"/>
          <w:szCs w:val="10"/>
          <w:b w:val="1"/>
          <w:bCs w:val="1"/>
          <w:color w:val="auto"/>
        </w:rPr>
        <w:t>Outstanding Equity Awards at Fiscal 2026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7517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75170" cy="5715"/>
                    </a:xfrm>
                    <a:prstGeom prst="rect">
                      <a:avLst/>
                    </a:prstGeom>
                    <a:noFill/>
                  </pic:spPr>
                </pic:pic>
              </a:graphicData>
            </a:graphic>
          </wp:anchor>
        </w:drawing>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05445E"/>
              </w:rPr>
              <w:t>Stock Awards</w:t>
            </w:r>
          </w:p>
        </w:tc>
        <w:tc>
          <w:tcPr>
            <w:tcW w:w="3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8"/>
              </w:rPr>
              <w:t>Equity</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6"/>
              </w:rPr>
              <w:t>Incentive</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8"/>
              </w:rPr>
              <w:t>Equity</w:t>
            </w:r>
          </w:p>
        </w:tc>
        <w:tc>
          <w:tcPr>
            <w:tcW w:w="340" w:type="dxa"/>
            <w:vAlign w:val="bottom"/>
          </w:tcPr>
          <w:p>
            <w:pPr>
              <w:spacing w:after="0"/>
              <w:rPr>
                <w:sz w:val="9"/>
                <w:szCs w:val="9"/>
                <w:color w:val="auto"/>
              </w:rPr>
            </w:pPr>
          </w:p>
        </w:tc>
        <w:tc>
          <w:tcPr>
            <w:tcW w:w="19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4"/>
              </w:rPr>
              <w:t>Plan</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6"/>
              </w:rPr>
              <w:t>Incentive</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6"/>
              </w:rPr>
              <w:t>Awards:</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4"/>
              </w:rPr>
              <w:t>Plan</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3"/>
              </w:rPr>
              <w:t>Market or</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6"/>
              </w:rPr>
              <w:t>Awards:</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5"/>
              </w:rPr>
              <w:t>Payout</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5"/>
              </w:rPr>
              <w:t>Number of</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7"/>
              </w:rPr>
              <w:t>Value of</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5"/>
              </w:rPr>
              <w:t>Unearned</w:t>
            </w:r>
          </w:p>
        </w:tc>
        <w:tc>
          <w:tcPr>
            <w:tcW w:w="340" w:type="dxa"/>
            <w:vAlign w:val="bottom"/>
          </w:tcPr>
          <w:p>
            <w:pPr>
              <w:spacing w:after="0"/>
              <w:rPr>
                <w:sz w:val="9"/>
                <w:szCs w:val="9"/>
                <w:color w:val="auto"/>
              </w:rPr>
            </w:pPr>
          </w:p>
        </w:tc>
        <w:tc>
          <w:tcPr>
            <w:tcW w:w="19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5"/>
              </w:rPr>
              <w:t>Unearned</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b w:val="1"/>
                <w:bCs w:val="1"/>
                <w:color w:val="05445E"/>
                <w:w w:val="95"/>
              </w:rPr>
              <w:t>Number of</w:t>
            </w:r>
          </w:p>
        </w:tc>
        <w:tc>
          <w:tcPr>
            <w:tcW w:w="360" w:type="dxa"/>
            <w:vAlign w:val="bottom"/>
          </w:tcPr>
          <w:p>
            <w:pPr>
              <w:spacing w:after="0"/>
              <w:rPr>
                <w:sz w:val="10"/>
                <w:szCs w:val="10"/>
                <w:color w:val="auto"/>
              </w:rPr>
            </w:pPr>
          </w:p>
        </w:tc>
        <w:tc>
          <w:tcPr>
            <w:tcW w:w="1540" w:type="dxa"/>
            <w:vAlign w:val="bottom"/>
          </w:tcPr>
          <w:p>
            <w:pPr>
              <w:jc w:val="center"/>
              <w:ind w:left="453"/>
              <w:spacing w:after="0"/>
              <w:rPr>
                <w:sz w:val="20"/>
                <w:szCs w:val="20"/>
                <w:color w:val="auto"/>
              </w:rPr>
            </w:pPr>
            <w:r>
              <w:rPr>
                <w:rFonts w:ascii="Arial" w:cs="Arial" w:eastAsia="Arial" w:hAnsi="Arial"/>
                <w:sz w:val="10"/>
                <w:szCs w:val="10"/>
                <w:b w:val="1"/>
                <w:bCs w:val="1"/>
                <w:color w:val="05445E"/>
                <w:w w:val="97"/>
              </w:rPr>
              <w:t>Market Value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3"/>
              </w:rPr>
              <w:t>Shares,</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3"/>
              </w:rPr>
              <w:t>Shares,</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b w:val="1"/>
                <w:bCs w:val="1"/>
                <w:color w:val="05445E"/>
                <w:w w:val="95"/>
              </w:rPr>
              <w:t>Shares or</w:t>
            </w:r>
          </w:p>
        </w:tc>
        <w:tc>
          <w:tcPr>
            <w:tcW w:w="360" w:type="dxa"/>
            <w:vAlign w:val="bottom"/>
          </w:tcPr>
          <w:p>
            <w:pPr>
              <w:spacing w:after="0"/>
              <w:rPr>
                <w:sz w:val="10"/>
                <w:szCs w:val="10"/>
                <w:color w:val="auto"/>
              </w:rPr>
            </w:pPr>
          </w:p>
        </w:tc>
        <w:tc>
          <w:tcPr>
            <w:tcW w:w="1540" w:type="dxa"/>
            <w:vAlign w:val="bottom"/>
          </w:tcPr>
          <w:p>
            <w:pPr>
              <w:jc w:val="center"/>
              <w:ind w:left="453"/>
              <w:spacing w:after="0"/>
              <w:rPr>
                <w:sz w:val="20"/>
                <w:szCs w:val="20"/>
                <w:color w:val="auto"/>
              </w:rPr>
            </w:pPr>
            <w:r>
              <w:rPr>
                <w:rFonts w:ascii="Arial" w:cs="Arial" w:eastAsia="Arial" w:hAnsi="Arial"/>
                <w:sz w:val="10"/>
                <w:szCs w:val="10"/>
                <w:b w:val="1"/>
                <w:bCs w:val="1"/>
                <w:color w:val="05445E"/>
                <w:w w:val="95"/>
              </w:rPr>
              <w:t>of Shares or</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5"/>
              </w:rPr>
              <w:t>Units or</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5"/>
              </w:rPr>
              <w:t>Units or</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6"/>
              </w:rPr>
              <w:t>Units of</w:t>
            </w:r>
          </w:p>
        </w:tc>
        <w:tc>
          <w:tcPr>
            <w:tcW w:w="360" w:type="dxa"/>
            <w:vAlign w:val="bottom"/>
          </w:tcPr>
          <w:p>
            <w:pPr>
              <w:spacing w:after="0"/>
              <w:rPr>
                <w:sz w:val="9"/>
                <w:szCs w:val="9"/>
                <w:color w:val="auto"/>
              </w:rPr>
            </w:pPr>
          </w:p>
        </w:tc>
        <w:tc>
          <w:tcPr>
            <w:tcW w:w="1540" w:type="dxa"/>
            <w:vAlign w:val="bottom"/>
          </w:tcPr>
          <w:p>
            <w:pPr>
              <w:jc w:val="center"/>
              <w:ind w:left="453"/>
              <w:spacing w:after="0" w:line="108" w:lineRule="exact"/>
              <w:rPr>
                <w:sz w:val="20"/>
                <w:szCs w:val="20"/>
                <w:color w:val="auto"/>
              </w:rPr>
            </w:pPr>
            <w:r>
              <w:rPr>
                <w:rFonts w:ascii="Arial" w:cs="Arial" w:eastAsia="Arial" w:hAnsi="Arial"/>
                <w:sz w:val="10"/>
                <w:szCs w:val="10"/>
                <w:b w:val="1"/>
                <w:bCs w:val="1"/>
                <w:color w:val="05445E"/>
                <w:w w:val="96"/>
              </w:rPr>
              <w:t>Units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7"/>
              </w:rPr>
              <w:t>Other</w:t>
            </w:r>
          </w:p>
        </w:tc>
        <w:tc>
          <w:tcPr>
            <w:tcW w:w="340" w:type="dxa"/>
            <w:vAlign w:val="bottom"/>
          </w:tcPr>
          <w:p>
            <w:pPr>
              <w:spacing w:after="0"/>
              <w:rPr>
                <w:sz w:val="9"/>
                <w:szCs w:val="9"/>
                <w:color w:val="auto"/>
              </w:rPr>
            </w:pPr>
          </w:p>
        </w:tc>
        <w:tc>
          <w:tcPr>
            <w:tcW w:w="1940" w:type="dxa"/>
            <w:vAlign w:val="bottom"/>
          </w:tcPr>
          <w:p>
            <w:pPr>
              <w:jc w:val="center"/>
              <w:spacing w:after="0" w:line="108" w:lineRule="exact"/>
              <w:rPr>
                <w:sz w:val="20"/>
                <w:szCs w:val="20"/>
                <w:color w:val="auto"/>
              </w:rPr>
            </w:pPr>
            <w:r>
              <w:rPr>
                <w:rFonts w:ascii="Arial" w:cs="Arial" w:eastAsia="Arial" w:hAnsi="Arial"/>
                <w:sz w:val="10"/>
                <w:szCs w:val="10"/>
                <w:b w:val="1"/>
                <w:bCs w:val="1"/>
                <w:color w:val="05445E"/>
                <w:w w:val="97"/>
              </w:rPr>
              <w:t>Other</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b w:val="1"/>
                <w:bCs w:val="1"/>
                <w:color w:val="05445E"/>
                <w:w w:val="93"/>
              </w:rPr>
              <w:t>Stock That</w:t>
            </w:r>
          </w:p>
        </w:tc>
        <w:tc>
          <w:tcPr>
            <w:tcW w:w="360" w:type="dxa"/>
            <w:vAlign w:val="bottom"/>
          </w:tcPr>
          <w:p>
            <w:pPr>
              <w:spacing w:after="0"/>
              <w:rPr>
                <w:sz w:val="10"/>
                <w:szCs w:val="10"/>
                <w:color w:val="auto"/>
              </w:rPr>
            </w:pPr>
          </w:p>
        </w:tc>
        <w:tc>
          <w:tcPr>
            <w:tcW w:w="1540" w:type="dxa"/>
            <w:vAlign w:val="bottom"/>
          </w:tcPr>
          <w:p>
            <w:pPr>
              <w:jc w:val="center"/>
              <w:ind w:left="453"/>
              <w:spacing w:after="0"/>
              <w:rPr>
                <w:sz w:val="20"/>
                <w:szCs w:val="20"/>
                <w:color w:val="auto"/>
              </w:rPr>
            </w:pPr>
            <w:r>
              <w:rPr>
                <w:rFonts w:ascii="Arial" w:cs="Arial" w:eastAsia="Arial" w:hAnsi="Arial"/>
                <w:sz w:val="10"/>
                <w:szCs w:val="10"/>
                <w:b w:val="1"/>
                <w:bCs w:val="1"/>
                <w:color w:val="05445E"/>
                <w:w w:val="93"/>
              </w:rPr>
              <w:t>Stock That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4"/>
              </w:rPr>
              <w:t>Rights That</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6"/>
              </w:rPr>
              <w:t>Rights</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b w:val="1"/>
                <w:bCs w:val="1"/>
                <w:color w:val="05445E"/>
                <w:w w:val="96"/>
              </w:rPr>
              <w:t>Have Not</w:t>
            </w:r>
          </w:p>
        </w:tc>
        <w:tc>
          <w:tcPr>
            <w:tcW w:w="360" w:type="dxa"/>
            <w:vAlign w:val="bottom"/>
          </w:tcPr>
          <w:p>
            <w:pPr>
              <w:spacing w:after="0"/>
              <w:rPr>
                <w:sz w:val="10"/>
                <w:szCs w:val="10"/>
                <w:color w:val="auto"/>
              </w:rPr>
            </w:pPr>
          </w:p>
        </w:tc>
        <w:tc>
          <w:tcPr>
            <w:tcW w:w="1540" w:type="dxa"/>
            <w:vAlign w:val="bottom"/>
          </w:tcPr>
          <w:p>
            <w:pPr>
              <w:jc w:val="center"/>
              <w:ind w:left="453"/>
              <w:spacing w:after="0"/>
              <w:rPr>
                <w:sz w:val="20"/>
                <w:szCs w:val="20"/>
                <w:color w:val="auto"/>
              </w:rPr>
            </w:pPr>
            <w:r>
              <w:rPr>
                <w:rFonts w:ascii="Arial" w:cs="Arial" w:eastAsia="Arial" w:hAnsi="Arial"/>
                <w:sz w:val="10"/>
                <w:szCs w:val="10"/>
                <w:b w:val="1"/>
                <w:bCs w:val="1"/>
                <w:color w:val="05445E"/>
                <w:w w:val="92"/>
              </w:rPr>
              <w:t>Have Not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6"/>
              </w:rPr>
              <w:t>Have Not</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6"/>
              </w:rPr>
              <w:t>That Have</w:t>
            </w:r>
          </w:p>
        </w:tc>
        <w:tc>
          <w:tcPr>
            <w:tcW w:w="0" w:type="dxa"/>
            <w:vAlign w:val="bottom"/>
          </w:tcPr>
          <w:p>
            <w:pPr>
              <w:spacing w:after="0"/>
              <w:rPr>
                <w:sz w:val="1"/>
                <w:szCs w:val="1"/>
                <w:color w:val="auto"/>
              </w:rPr>
            </w:pPr>
          </w:p>
        </w:tc>
      </w:tr>
      <w:tr>
        <w:trPr>
          <w:trHeight w:val="115"/>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b w:val="1"/>
                <w:bCs w:val="1"/>
                <w:color w:val="05445E"/>
                <w:w w:val="97"/>
              </w:rPr>
              <w:t>Vested</w:t>
            </w:r>
          </w:p>
        </w:tc>
        <w:tc>
          <w:tcPr>
            <w:tcW w:w="360" w:type="dxa"/>
            <w:vAlign w:val="bottom"/>
          </w:tcPr>
          <w:p>
            <w:pPr>
              <w:spacing w:after="0"/>
              <w:rPr>
                <w:sz w:val="10"/>
                <w:szCs w:val="10"/>
                <w:color w:val="auto"/>
              </w:rPr>
            </w:pPr>
          </w:p>
        </w:tc>
        <w:tc>
          <w:tcPr>
            <w:tcW w:w="1540" w:type="dxa"/>
            <w:vAlign w:val="bottom"/>
          </w:tcPr>
          <w:p>
            <w:pPr>
              <w:jc w:val="center"/>
              <w:ind w:left="453"/>
              <w:spacing w:after="0"/>
              <w:rPr>
                <w:sz w:val="20"/>
                <w:szCs w:val="20"/>
                <w:color w:val="auto"/>
              </w:rPr>
            </w:pPr>
            <w:r>
              <w:rPr>
                <w:rFonts w:ascii="Arial" w:cs="Arial" w:eastAsia="Arial" w:hAnsi="Arial"/>
                <w:sz w:val="10"/>
                <w:szCs w:val="10"/>
                <w:b w:val="1"/>
                <w:bCs w:val="1"/>
                <w:color w:val="05445E"/>
                <w:w w:val="97"/>
              </w:rPr>
              <w:t>Vested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05445E"/>
                <w:w w:val="91"/>
              </w:rPr>
              <w:t>Vested</w:t>
            </w:r>
          </w:p>
        </w:tc>
        <w:tc>
          <w:tcPr>
            <w:tcW w:w="34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Arial" w:cs="Arial" w:eastAsia="Arial" w:hAnsi="Arial"/>
                <w:sz w:val="10"/>
                <w:szCs w:val="10"/>
                <w:b w:val="1"/>
                <w:bCs w:val="1"/>
                <w:color w:val="05445E"/>
                <w:w w:val="95"/>
              </w:rPr>
              <w:t>Not Vested</w:t>
            </w:r>
          </w:p>
        </w:tc>
        <w:tc>
          <w:tcPr>
            <w:tcW w:w="0" w:type="dxa"/>
            <w:vAlign w:val="bottom"/>
          </w:tcPr>
          <w:p>
            <w:pPr>
              <w:spacing w:after="0"/>
              <w:rPr>
                <w:sz w:val="1"/>
                <w:szCs w:val="1"/>
                <w:color w:val="auto"/>
              </w:rPr>
            </w:pPr>
          </w:p>
        </w:tc>
      </w:tr>
      <w:tr>
        <w:trPr>
          <w:trHeight w:val="143"/>
        </w:trPr>
        <w:tc>
          <w:tcPr>
            <w:tcW w:w="2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Name</w:t>
            </w:r>
          </w:p>
        </w:tc>
        <w:tc>
          <w:tcPr>
            <w:tcW w:w="160" w:type="dxa"/>
            <w:vAlign w:val="bottom"/>
            <w:tcBorders>
              <w:bottom w:val="single" w:sz="8" w:color="DBDBDB"/>
            </w:tcBorders>
          </w:tcPr>
          <w:p>
            <w:pPr>
              <w:spacing w:after="0"/>
              <w:rPr>
                <w:sz w:val="12"/>
                <w:szCs w:val="1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360" w:type="dxa"/>
            <w:vAlign w:val="bottom"/>
            <w:tcBorders>
              <w:bottom w:val="single" w:sz="8" w:color="DBDBDB"/>
            </w:tcBorders>
          </w:tcPr>
          <w:p>
            <w:pPr>
              <w:spacing w:after="0"/>
              <w:rPr>
                <w:sz w:val="12"/>
                <w:szCs w:val="12"/>
                <w:color w:val="auto"/>
              </w:rPr>
            </w:pPr>
          </w:p>
        </w:tc>
        <w:tc>
          <w:tcPr>
            <w:tcW w:w="1540" w:type="dxa"/>
            <w:vAlign w:val="bottom"/>
            <w:tcBorders>
              <w:bottom w:val="single" w:sz="8" w:color="auto"/>
            </w:tcBorders>
          </w:tcPr>
          <w:p>
            <w:pPr>
              <w:jc w:val="center"/>
              <w:ind w:left="453"/>
              <w:spacing w:after="0" w:line="144" w:lineRule="exact"/>
              <w:rPr>
                <w:sz w:val="20"/>
                <w:szCs w:val="20"/>
                <w:color w:val="auto"/>
              </w:rPr>
            </w:pPr>
            <w:r>
              <w:rPr>
                <w:rFonts w:ascii="Arial" w:cs="Arial" w:eastAsia="Arial" w:hAnsi="Arial"/>
                <w:sz w:val="16"/>
                <w:szCs w:val="16"/>
                <w:b w:val="1"/>
                <w:bCs w:val="1"/>
                <w:color w:val="05445E"/>
                <w:w w:val="97"/>
                <w:vertAlign w:val="subscript"/>
              </w:rPr>
              <w:t>($)</w:t>
            </w:r>
            <w:r>
              <w:rPr>
                <w:rFonts w:ascii="Arial" w:cs="Arial" w:eastAsia="Arial" w:hAnsi="Arial"/>
                <w:sz w:val="6"/>
                <w:szCs w:val="6"/>
                <w:b w:val="1"/>
                <w:bCs w:val="1"/>
                <w:color w:val="05445E"/>
                <w:w w:val="97"/>
              </w:rPr>
              <w:t>(1)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0"/>
              </w:rPr>
              <w:t>(#)</w:t>
            </w:r>
            <w:r>
              <w:rPr>
                <w:rFonts w:ascii="Arial" w:cs="Arial" w:eastAsia="Arial" w:hAnsi="Arial"/>
                <w:sz w:val="12"/>
                <w:szCs w:val="12"/>
                <w:b w:val="1"/>
                <w:bCs w:val="1"/>
                <w:color w:val="05445E"/>
                <w:w w:val="90"/>
                <w:vertAlign w:val="superscript"/>
              </w:rPr>
              <w:t>(2)</w:t>
            </w:r>
          </w:p>
        </w:tc>
        <w:tc>
          <w:tcPr>
            <w:tcW w:w="340" w:type="dxa"/>
            <w:vAlign w:val="bottom"/>
            <w:tcBorders>
              <w:bottom w:val="single" w:sz="8" w:color="D9D9D9"/>
            </w:tcBorders>
          </w:tcPr>
          <w:p>
            <w:pPr>
              <w:spacing w:after="0"/>
              <w:rPr>
                <w:sz w:val="12"/>
                <w:szCs w:val="12"/>
                <w:color w:val="auto"/>
              </w:rPr>
            </w:pPr>
          </w:p>
        </w:tc>
        <w:tc>
          <w:tcPr>
            <w:tcW w:w="194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05445E"/>
                <w:w w:val="97"/>
                <w:vertAlign w:val="subscript"/>
              </w:rPr>
              <w:t>($)</w:t>
            </w:r>
            <w:r>
              <w:rPr>
                <w:rFonts w:ascii="Arial" w:cs="Arial" w:eastAsia="Arial" w:hAnsi="Arial"/>
                <w:sz w:val="6"/>
                <w:szCs w:val="6"/>
                <w:b w:val="1"/>
                <w:bCs w:val="1"/>
                <w:color w:val="05445E"/>
                <w:w w:val="97"/>
              </w:rPr>
              <w:t>(1)</w:t>
            </w:r>
          </w:p>
        </w:tc>
        <w:tc>
          <w:tcPr>
            <w:tcW w:w="0" w:type="dxa"/>
            <w:vAlign w:val="bottom"/>
          </w:tcPr>
          <w:p>
            <w:pPr>
              <w:spacing w:after="0"/>
              <w:rPr>
                <w:sz w:val="1"/>
                <w:szCs w:val="1"/>
                <w:color w:val="auto"/>
              </w:rPr>
            </w:pPr>
          </w:p>
        </w:tc>
      </w:tr>
      <w:tr>
        <w:trPr>
          <w:trHeight w:val="63"/>
        </w:trPr>
        <w:tc>
          <w:tcPr>
            <w:tcW w:w="2260" w:type="dxa"/>
            <w:vAlign w:val="bottom"/>
            <w:vMerge w:val="restart"/>
            <w:shd w:val="clear" w:color="auto" w:fill="DBDBDB"/>
          </w:tcPr>
          <w:p>
            <w:pPr>
              <w:spacing w:after="0"/>
              <w:rPr>
                <w:sz w:val="20"/>
                <w:szCs w:val="20"/>
                <w:color w:val="auto"/>
              </w:rPr>
            </w:pPr>
            <w:r>
              <w:rPr>
                <w:rFonts w:ascii="Arial" w:cs="Arial" w:eastAsia="Arial" w:hAnsi="Arial"/>
                <w:sz w:val="10"/>
                <w:szCs w:val="10"/>
                <w:color w:val="auto"/>
              </w:rPr>
              <w:t>Brent C.</w:t>
            </w:r>
          </w:p>
        </w:tc>
        <w:tc>
          <w:tcPr>
            <w:tcW w:w="160" w:type="dxa"/>
            <w:vAlign w:val="bottom"/>
            <w:shd w:val="clear" w:color="auto" w:fill="DBDBDB"/>
          </w:tcPr>
          <w:p>
            <w:pPr>
              <w:spacing w:after="0"/>
              <w:rPr>
                <w:sz w:val="5"/>
                <w:szCs w:val="5"/>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DBDBDB"/>
          </w:tcPr>
          <w:p>
            <w:pPr>
              <w:spacing w:after="0"/>
              <w:rPr>
                <w:sz w:val="5"/>
                <w:szCs w:val="5"/>
                <w:color w:val="auto"/>
              </w:rPr>
            </w:pPr>
          </w:p>
        </w:tc>
        <w:tc>
          <w:tcPr>
            <w:tcW w:w="1540" w:type="dxa"/>
            <w:vAlign w:val="bottom"/>
            <w:vMerge w:val="restart"/>
            <w:shd w:val="clear" w:color="auto" w:fill="DBDBDB"/>
          </w:tcPr>
          <w:p>
            <w:pPr>
              <w:jc w:val="center"/>
              <w:ind w:left="453"/>
              <w:spacing w:after="0"/>
              <w:rPr>
                <w:sz w:val="20"/>
                <w:szCs w:val="20"/>
                <w:color w:val="auto"/>
              </w:rPr>
            </w:pPr>
            <w:r>
              <w:rPr>
                <w:rFonts w:ascii="Arial" w:cs="Arial" w:eastAsia="Arial" w:hAnsi="Arial"/>
                <w:sz w:val="10"/>
                <w:szCs w:val="10"/>
                <w:color w:val="auto"/>
                <w:w w:val="79"/>
              </w:rPr>
              <w:t>—</w:t>
            </w:r>
          </w:p>
        </w:tc>
        <w:tc>
          <w:tcPr>
            <w:tcW w:w="2620" w:type="dxa"/>
            <w:vAlign w:val="bottom"/>
            <w:gridSpan w:val="3"/>
            <w:vMerge w:val="restart"/>
            <w:shd w:val="clear" w:color="auto" w:fill="DBDBDB"/>
          </w:tcPr>
          <w:p>
            <w:pPr>
              <w:jc w:val="center"/>
              <w:ind w:left="532"/>
              <w:spacing w:after="0"/>
              <w:rPr>
                <w:sz w:val="20"/>
                <w:szCs w:val="20"/>
                <w:color w:val="auto"/>
              </w:rPr>
            </w:pPr>
            <w:r>
              <w:rPr>
                <w:rFonts w:ascii="Arial" w:cs="Arial" w:eastAsia="Arial" w:hAnsi="Arial"/>
                <w:sz w:val="10"/>
                <w:szCs w:val="10"/>
                <w:color w:val="auto"/>
                <w:w w:val="95"/>
              </w:rPr>
              <w:t>3,019</w:t>
            </w:r>
          </w:p>
        </w:tc>
        <w:tc>
          <w:tcPr>
            <w:tcW w:w="340" w:type="dxa"/>
            <w:vAlign w:val="bottom"/>
            <w:shd w:val="clear" w:color="auto" w:fill="D9D9D9"/>
          </w:tcPr>
          <w:p>
            <w:pPr>
              <w:jc w:val="right"/>
              <w:spacing w:after="0" w:line="63" w:lineRule="exact"/>
              <w:rPr>
                <w:sz w:val="20"/>
                <w:szCs w:val="20"/>
                <w:color w:val="auto"/>
              </w:rPr>
            </w:pPr>
            <w:r>
              <w:rPr>
                <w:rFonts w:ascii="Arial" w:cs="Arial" w:eastAsia="Arial" w:hAnsi="Arial"/>
                <w:sz w:val="6"/>
                <w:szCs w:val="6"/>
                <w:color w:val="auto"/>
              </w:rPr>
              <w:t>(4)</w:t>
            </w: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3"/>
              </w:rPr>
              <w:t>120,217</w:t>
            </w:r>
          </w:p>
        </w:tc>
        <w:tc>
          <w:tcPr>
            <w:tcW w:w="0" w:type="dxa"/>
            <w:vAlign w:val="bottom"/>
          </w:tcPr>
          <w:p>
            <w:pPr>
              <w:spacing w:after="0"/>
              <w:rPr>
                <w:sz w:val="1"/>
                <w:szCs w:val="1"/>
                <w:color w:val="auto"/>
              </w:rPr>
            </w:pPr>
          </w:p>
        </w:tc>
      </w:tr>
      <w:tr>
        <w:trPr>
          <w:trHeight w:val="56"/>
        </w:trPr>
        <w:tc>
          <w:tcPr>
            <w:tcW w:w="2260" w:type="dxa"/>
            <w:vAlign w:val="bottom"/>
            <w:vMerge w:val="continue"/>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92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40" w:type="dxa"/>
            <w:vAlign w:val="bottom"/>
            <w:vMerge w:val="continue"/>
            <w:shd w:val="clear" w:color="auto" w:fill="DBDBDB"/>
          </w:tcPr>
          <w:p>
            <w:pPr>
              <w:spacing w:after="0"/>
              <w:rPr>
                <w:sz w:val="4"/>
                <w:szCs w:val="4"/>
                <w:color w:val="auto"/>
              </w:rPr>
            </w:pPr>
          </w:p>
        </w:tc>
        <w:tc>
          <w:tcPr>
            <w:tcW w:w="2620" w:type="dxa"/>
            <w:vAlign w:val="bottom"/>
            <w:gridSpan w:val="3"/>
            <w:vMerge w:val="continue"/>
            <w:shd w:val="clear" w:color="auto" w:fill="DBDBDB"/>
          </w:tcPr>
          <w:p>
            <w:pPr>
              <w:spacing w:after="0"/>
              <w:rPr>
                <w:sz w:val="4"/>
                <w:szCs w:val="4"/>
                <w:color w:val="auto"/>
              </w:rPr>
            </w:pPr>
          </w:p>
        </w:tc>
        <w:tc>
          <w:tcPr>
            <w:tcW w:w="340" w:type="dxa"/>
            <w:vAlign w:val="bottom"/>
            <w:shd w:val="clear" w:color="auto" w:fill="D9D9D9"/>
          </w:tcPr>
          <w:p>
            <w:pPr>
              <w:spacing w:after="0"/>
              <w:rPr>
                <w:sz w:val="4"/>
                <w:szCs w:val="4"/>
                <w:color w:val="auto"/>
              </w:rPr>
            </w:pPr>
          </w:p>
        </w:tc>
        <w:tc>
          <w:tcPr>
            <w:tcW w:w="19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260" w:type="dxa"/>
            <w:vAlign w:val="bottom"/>
            <w:shd w:val="clear" w:color="auto" w:fill="DBDBDB"/>
          </w:tcPr>
          <w:p>
            <w:pPr>
              <w:spacing w:after="0"/>
              <w:rPr>
                <w:sz w:val="20"/>
                <w:szCs w:val="20"/>
                <w:color w:val="auto"/>
              </w:rPr>
            </w:pPr>
            <w:r>
              <w:rPr>
                <w:rFonts w:ascii="Arial" w:cs="Arial" w:eastAsia="Arial" w:hAnsi="Arial"/>
                <w:sz w:val="10"/>
                <w:szCs w:val="10"/>
                <w:color w:val="auto"/>
              </w:rPr>
              <w:t>Jewell</w:t>
            </w:r>
          </w:p>
        </w:tc>
        <w:tc>
          <w:tcPr>
            <w:tcW w:w="160" w:type="dxa"/>
            <w:vAlign w:val="bottom"/>
            <w:shd w:val="clear" w:color="auto" w:fill="DBDBDB"/>
          </w:tcPr>
          <w:p>
            <w:pPr>
              <w:spacing w:after="0"/>
              <w:rPr>
                <w:sz w:val="10"/>
                <w:szCs w:val="10"/>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DBDBDB"/>
          </w:tcPr>
          <w:p>
            <w:pPr>
              <w:spacing w:after="0"/>
              <w:rPr>
                <w:sz w:val="10"/>
                <w:szCs w:val="10"/>
                <w:color w:val="auto"/>
              </w:rPr>
            </w:pPr>
          </w:p>
        </w:tc>
        <w:tc>
          <w:tcPr>
            <w:tcW w:w="1540" w:type="dxa"/>
            <w:vAlign w:val="bottom"/>
            <w:vMerge w:val="restart"/>
            <w:shd w:val="clear" w:color="auto" w:fill="DBDBDB"/>
          </w:tcPr>
          <w:p>
            <w:pPr>
              <w:jc w:val="center"/>
              <w:ind w:left="453"/>
              <w:spacing w:after="0"/>
              <w:rPr>
                <w:sz w:val="20"/>
                <w:szCs w:val="20"/>
                <w:color w:val="auto"/>
              </w:rPr>
            </w:pPr>
            <w:r>
              <w:rPr>
                <w:rFonts w:ascii="Arial" w:cs="Arial" w:eastAsia="Arial" w:hAnsi="Arial"/>
                <w:sz w:val="10"/>
                <w:szCs w:val="10"/>
                <w:color w:val="auto"/>
                <w:w w:val="79"/>
              </w:rPr>
              <w:t>—</w:t>
            </w:r>
          </w:p>
        </w:tc>
        <w:tc>
          <w:tcPr>
            <w:tcW w:w="2620" w:type="dxa"/>
            <w:vAlign w:val="bottom"/>
            <w:gridSpan w:val="3"/>
            <w:vMerge w:val="restart"/>
            <w:shd w:val="clear" w:color="auto" w:fill="DBDBDB"/>
          </w:tcPr>
          <w:p>
            <w:pPr>
              <w:jc w:val="center"/>
              <w:ind w:left="532"/>
              <w:spacing w:after="0"/>
              <w:rPr>
                <w:sz w:val="20"/>
                <w:szCs w:val="20"/>
                <w:color w:val="auto"/>
              </w:rPr>
            </w:pPr>
            <w:r>
              <w:rPr>
                <w:rFonts w:ascii="Arial" w:cs="Arial" w:eastAsia="Arial" w:hAnsi="Arial"/>
                <w:sz w:val="10"/>
                <w:szCs w:val="10"/>
                <w:color w:val="auto"/>
                <w:w w:val="95"/>
              </w:rPr>
              <w:t>1,092</w:t>
            </w:r>
          </w:p>
        </w:tc>
        <w:tc>
          <w:tcPr>
            <w:tcW w:w="340" w:type="dxa"/>
            <w:vAlign w:val="bottom"/>
            <w:shd w:val="clear" w:color="auto" w:fill="D9D9D9"/>
          </w:tcPr>
          <w:p>
            <w:pPr>
              <w:jc w:val="right"/>
              <w:spacing w:after="0"/>
              <w:rPr>
                <w:sz w:val="20"/>
                <w:szCs w:val="20"/>
                <w:color w:val="auto"/>
              </w:rPr>
            </w:pPr>
            <w:r>
              <w:rPr>
                <w:rFonts w:ascii="Arial" w:cs="Arial" w:eastAsia="Arial" w:hAnsi="Arial"/>
                <w:sz w:val="6"/>
                <w:szCs w:val="6"/>
                <w:color w:val="auto"/>
              </w:rPr>
              <w:t>(5)</w:t>
            </w: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7"/>
              </w:rPr>
              <w:t>43,483</w:t>
            </w:r>
          </w:p>
        </w:tc>
        <w:tc>
          <w:tcPr>
            <w:tcW w:w="0" w:type="dxa"/>
            <w:vAlign w:val="bottom"/>
          </w:tcPr>
          <w:p>
            <w:pPr>
              <w:spacing w:after="0"/>
              <w:rPr>
                <w:sz w:val="1"/>
                <w:szCs w:val="1"/>
                <w:color w:val="auto"/>
              </w:rPr>
            </w:pPr>
          </w:p>
        </w:tc>
      </w:tr>
      <w:tr>
        <w:trPr>
          <w:trHeight w:val="36"/>
        </w:trPr>
        <w:tc>
          <w:tcPr>
            <w:tcW w:w="226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920" w:type="dxa"/>
            <w:vAlign w:val="bottom"/>
            <w:vMerge w:val="continue"/>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540" w:type="dxa"/>
            <w:vAlign w:val="bottom"/>
            <w:vMerge w:val="continue"/>
            <w:shd w:val="clear" w:color="auto" w:fill="DBDBDB"/>
          </w:tcPr>
          <w:p>
            <w:pPr>
              <w:spacing w:after="0"/>
              <w:rPr>
                <w:sz w:val="3"/>
                <w:szCs w:val="3"/>
                <w:color w:val="auto"/>
              </w:rPr>
            </w:pPr>
          </w:p>
        </w:tc>
        <w:tc>
          <w:tcPr>
            <w:tcW w:w="2620" w:type="dxa"/>
            <w:vAlign w:val="bottom"/>
            <w:gridSpan w:val="3"/>
            <w:vMerge w:val="continue"/>
            <w:shd w:val="clear" w:color="auto" w:fill="DBDBDB"/>
          </w:tcPr>
          <w:p>
            <w:pPr>
              <w:spacing w:after="0"/>
              <w:rPr>
                <w:sz w:val="3"/>
                <w:szCs w:val="3"/>
                <w:color w:val="auto"/>
              </w:rPr>
            </w:pPr>
          </w:p>
        </w:tc>
        <w:tc>
          <w:tcPr>
            <w:tcW w:w="340" w:type="dxa"/>
            <w:vAlign w:val="bottom"/>
            <w:shd w:val="clear" w:color="auto" w:fill="D9D9D9"/>
          </w:tcPr>
          <w:p>
            <w:pPr>
              <w:spacing w:after="0"/>
              <w:rPr>
                <w:sz w:val="3"/>
                <w:szCs w:val="3"/>
                <w:color w:val="auto"/>
              </w:rPr>
            </w:pPr>
          </w:p>
        </w:tc>
        <w:tc>
          <w:tcPr>
            <w:tcW w:w="1940" w:type="dxa"/>
            <w:vAlign w:val="bottom"/>
            <w:vMerge w:val="continue"/>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8"/>
        </w:trPr>
        <w:tc>
          <w:tcPr>
            <w:tcW w:w="22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DBDBDB"/>
          </w:tcPr>
          <w:p>
            <w:pPr>
              <w:spacing w:after="0"/>
              <w:rPr>
                <w:sz w:val="8"/>
                <w:szCs w:val="8"/>
                <w:color w:val="auto"/>
              </w:rPr>
            </w:pPr>
          </w:p>
        </w:tc>
        <w:tc>
          <w:tcPr>
            <w:tcW w:w="1540" w:type="dxa"/>
            <w:vAlign w:val="bottom"/>
            <w:vMerge w:val="restart"/>
            <w:shd w:val="clear" w:color="auto" w:fill="DBDBDB"/>
          </w:tcPr>
          <w:p>
            <w:pPr>
              <w:jc w:val="center"/>
              <w:ind w:left="453"/>
              <w:spacing w:after="0"/>
              <w:rPr>
                <w:sz w:val="20"/>
                <w:szCs w:val="20"/>
                <w:color w:val="auto"/>
              </w:rPr>
            </w:pPr>
            <w:r>
              <w:rPr>
                <w:rFonts w:ascii="Arial" w:cs="Arial" w:eastAsia="Arial" w:hAnsi="Arial"/>
                <w:sz w:val="10"/>
                <w:szCs w:val="10"/>
                <w:color w:val="auto"/>
                <w:w w:val="79"/>
              </w:rPr>
              <w:t>—</w:t>
            </w:r>
          </w:p>
        </w:tc>
        <w:tc>
          <w:tcPr>
            <w:tcW w:w="2620" w:type="dxa"/>
            <w:vAlign w:val="bottom"/>
            <w:gridSpan w:val="3"/>
            <w:vMerge w:val="restart"/>
            <w:shd w:val="clear" w:color="auto" w:fill="DBDBDB"/>
          </w:tcPr>
          <w:p>
            <w:pPr>
              <w:jc w:val="center"/>
              <w:ind w:left="532"/>
              <w:spacing w:after="0"/>
              <w:rPr>
                <w:sz w:val="20"/>
                <w:szCs w:val="20"/>
                <w:color w:val="auto"/>
              </w:rPr>
            </w:pPr>
            <w:r>
              <w:rPr>
                <w:rFonts w:ascii="Arial" w:cs="Arial" w:eastAsia="Arial" w:hAnsi="Arial"/>
                <w:sz w:val="10"/>
                <w:szCs w:val="10"/>
                <w:color w:val="auto"/>
                <w:w w:val="95"/>
              </w:rPr>
              <w:t>3,045</w:t>
            </w:r>
          </w:p>
        </w:tc>
        <w:tc>
          <w:tcPr>
            <w:tcW w:w="340" w:type="dxa"/>
            <w:vAlign w:val="bottom"/>
            <w:shd w:val="clear" w:color="auto" w:fill="D9D9D9"/>
          </w:tcPr>
          <w:p>
            <w:pPr>
              <w:jc w:val="right"/>
              <w:spacing w:after="0"/>
              <w:rPr>
                <w:sz w:val="20"/>
                <w:szCs w:val="20"/>
                <w:color w:val="auto"/>
              </w:rPr>
            </w:pPr>
            <w:r>
              <w:rPr>
                <w:rFonts w:ascii="Arial" w:cs="Arial" w:eastAsia="Arial" w:hAnsi="Arial"/>
                <w:sz w:val="6"/>
                <w:szCs w:val="6"/>
                <w:color w:val="auto"/>
              </w:rPr>
              <w:t>(6)</w:t>
            </w: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3"/>
              </w:rPr>
              <w:t>121,252</w:t>
            </w:r>
          </w:p>
        </w:tc>
        <w:tc>
          <w:tcPr>
            <w:tcW w:w="0" w:type="dxa"/>
            <w:vAlign w:val="bottom"/>
          </w:tcPr>
          <w:p>
            <w:pPr>
              <w:spacing w:after="0"/>
              <w:rPr>
                <w:sz w:val="1"/>
                <w:szCs w:val="1"/>
                <w:color w:val="auto"/>
              </w:rPr>
            </w:pPr>
          </w:p>
        </w:tc>
      </w:tr>
      <w:tr>
        <w:trPr>
          <w:trHeight w:val="70"/>
        </w:trPr>
        <w:tc>
          <w:tcPr>
            <w:tcW w:w="2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920" w:type="dxa"/>
            <w:vAlign w:val="bottom"/>
            <w:vMerge w:val="continue"/>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1540" w:type="dxa"/>
            <w:vAlign w:val="bottom"/>
            <w:vMerge w:val="continue"/>
            <w:shd w:val="clear" w:color="auto" w:fill="DBDBDB"/>
          </w:tcPr>
          <w:p>
            <w:pPr>
              <w:spacing w:after="0"/>
              <w:rPr>
                <w:sz w:val="6"/>
                <w:szCs w:val="6"/>
                <w:color w:val="auto"/>
              </w:rPr>
            </w:pPr>
          </w:p>
        </w:tc>
        <w:tc>
          <w:tcPr>
            <w:tcW w:w="2620" w:type="dxa"/>
            <w:vAlign w:val="bottom"/>
            <w:gridSpan w:val="3"/>
            <w:vMerge w:val="continue"/>
            <w:shd w:val="clear" w:color="auto" w:fill="DBDBDB"/>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19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2,214</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(8)</w:t>
            </w:r>
          </w:p>
        </w:tc>
        <w:tc>
          <w:tcPr>
            <w:tcW w:w="1540" w:type="dxa"/>
            <w:vAlign w:val="bottom"/>
            <w:vMerge w:val="restart"/>
            <w:shd w:val="clear" w:color="auto" w:fill="DBDBDB"/>
          </w:tcPr>
          <w:p>
            <w:pPr>
              <w:jc w:val="center"/>
              <w:ind w:left="453"/>
              <w:spacing w:after="0"/>
              <w:rPr>
                <w:sz w:val="20"/>
                <w:szCs w:val="20"/>
                <w:color w:val="auto"/>
              </w:rPr>
            </w:pPr>
            <w:r>
              <w:rPr>
                <w:rFonts w:ascii="Arial" w:cs="Arial" w:eastAsia="Arial" w:hAnsi="Arial"/>
                <w:sz w:val="10"/>
                <w:szCs w:val="10"/>
                <w:color w:val="auto"/>
                <w:w w:val="91"/>
              </w:rPr>
              <w:t>88,161</w:t>
            </w:r>
          </w:p>
        </w:tc>
        <w:tc>
          <w:tcPr>
            <w:tcW w:w="50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0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40" w:type="dxa"/>
            <w:vAlign w:val="bottom"/>
            <w:shd w:val="clear" w:color="auto" w:fill="DBDBDB"/>
          </w:tcPr>
          <w:p>
            <w:pPr>
              <w:spacing w:after="0"/>
              <w:rPr>
                <w:sz w:val="7"/>
                <w:szCs w:val="7"/>
                <w:color w:val="auto"/>
              </w:rPr>
            </w:pP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2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92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40" w:type="dxa"/>
            <w:vAlign w:val="bottom"/>
            <w:vMerge w:val="continue"/>
            <w:shd w:val="clear" w:color="auto" w:fill="DBDBDB"/>
          </w:tcPr>
          <w:p>
            <w:pPr>
              <w:spacing w:after="0"/>
              <w:rPr>
                <w:sz w:val="4"/>
                <w:szCs w:val="4"/>
                <w:color w:val="auto"/>
              </w:rPr>
            </w:pPr>
          </w:p>
        </w:tc>
        <w:tc>
          <w:tcPr>
            <w:tcW w:w="5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4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9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2,911</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(10)</w:t>
            </w:r>
          </w:p>
        </w:tc>
        <w:tc>
          <w:tcPr>
            <w:tcW w:w="1540" w:type="dxa"/>
            <w:vAlign w:val="bottom"/>
            <w:vMerge w:val="restart"/>
            <w:shd w:val="clear" w:color="auto" w:fill="DBDBDB"/>
          </w:tcPr>
          <w:p>
            <w:pPr>
              <w:jc w:val="center"/>
              <w:ind w:left="473"/>
              <w:spacing w:after="0"/>
              <w:rPr>
                <w:sz w:val="20"/>
                <w:szCs w:val="20"/>
                <w:color w:val="auto"/>
              </w:rPr>
            </w:pPr>
            <w:r>
              <w:rPr>
                <w:rFonts w:ascii="Arial" w:cs="Arial" w:eastAsia="Arial" w:hAnsi="Arial"/>
                <w:sz w:val="10"/>
                <w:szCs w:val="10"/>
                <w:color w:val="auto"/>
                <w:w w:val="93"/>
              </w:rPr>
              <w:t>115,916</w:t>
            </w:r>
          </w:p>
        </w:tc>
        <w:tc>
          <w:tcPr>
            <w:tcW w:w="5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40" w:type="dxa"/>
            <w:vAlign w:val="bottom"/>
            <w:shd w:val="clear" w:color="auto" w:fill="DBDBDB"/>
          </w:tcPr>
          <w:p>
            <w:pPr>
              <w:spacing w:after="0"/>
              <w:rPr>
                <w:sz w:val="8"/>
                <w:szCs w:val="8"/>
                <w:color w:val="auto"/>
              </w:rPr>
            </w:pP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2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92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40" w:type="dxa"/>
            <w:vAlign w:val="bottom"/>
            <w:vMerge w:val="continue"/>
            <w:shd w:val="clear" w:color="auto" w:fill="DBDBDB"/>
          </w:tcPr>
          <w:p>
            <w:pPr>
              <w:spacing w:after="0"/>
              <w:rPr>
                <w:sz w:val="4"/>
                <w:szCs w:val="4"/>
                <w:color w:val="auto"/>
              </w:rPr>
            </w:pPr>
          </w:p>
        </w:tc>
        <w:tc>
          <w:tcPr>
            <w:tcW w:w="5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4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9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5"/>
              </w:rPr>
              <w:t>6,091</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(11)</w:t>
            </w:r>
          </w:p>
        </w:tc>
        <w:tc>
          <w:tcPr>
            <w:tcW w:w="1540" w:type="dxa"/>
            <w:vAlign w:val="bottom"/>
            <w:vMerge w:val="restart"/>
            <w:shd w:val="clear" w:color="auto" w:fill="DBDBDB"/>
          </w:tcPr>
          <w:p>
            <w:pPr>
              <w:jc w:val="center"/>
              <w:ind w:left="453"/>
              <w:spacing w:after="0"/>
              <w:rPr>
                <w:sz w:val="20"/>
                <w:szCs w:val="20"/>
                <w:color w:val="auto"/>
              </w:rPr>
            </w:pPr>
            <w:r>
              <w:rPr>
                <w:rFonts w:ascii="Arial" w:cs="Arial" w:eastAsia="Arial" w:hAnsi="Arial"/>
                <w:sz w:val="10"/>
                <w:szCs w:val="10"/>
                <w:color w:val="auto"/>
                <w:w w:val="99"/>
              </w:rPr>
              <w:t>242,544</w:t>
            </w:r>
          </w:p>
        </w:tc>
        <w:tc>
          <w:tcPr>
            <w:tcW w:w="5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40" w:type="dxa"/>
            <w:vAlign w:val="bottom"/>
            <w:shd w:val="clear" w:color="auto" w:fill="DBDBDB"/>
          </w:tcPr>
          <w:p>
            <w:pPr>
              <w:spacing w:after="0"/>
              <w:rPr>
                <w:sz w:val="8"/>
                <w:szCs w:val="8"/>
                <w:color w:val="auto"/>
              </w:rPr>
            </w:pP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5"/>
        </w:trPr>
        <w:tc>
          <w:tcPr>
            <w:tcW w:w="2260" w:type="dxa"/>
            <w:vAlign w:val="bottom"/>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920" w:type="dxa"/>
            <w:vAlign w:val="bottom"/>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540" w:type="dxa"/>
            <w:vAlign w:val="bottom"/>
            <w:vMerge w:val="continue"/>
            <w:shd w:val="clear" w:color="auto" w:fill="DBDBDB"/>
          </w:tcPr>
          <w:p>
            <w:pPr>
              <w:spacing w:after="0"/>
              <w:rPr>
                <w:sz w:val="4"/>
                <w:szCs w:val="4"/>
                <w:color w:val="auto"/>
              </w:rPr>
            </w:pPr>
          </w:p>
        </w:tc>
        <w:tc>
          <w:tcPr>
            <w:tcW w:w="5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4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9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7"/>
              </w:rPr>
              <w:t>16,882</w:t>
            </w:r>
          </w:p>
        </w:tc>
        <w:tc>
          <w:tcPr>
            <w:tcW w:w="360" w:type="dxa"/>
            <w:vAlign w:val="bottom"/>
            <w:shd w:val="clear" w:color="auto" w:fill="DBDBDB"/>
          </w:tcPr>
          <w:p>
            <w:pPr>
              <w:jc w:val="right"/>
              <w:spacing w:after="0"/>
              <w:rPr>
                <w:sz w:val="20"/>
                <w:szCs w:val="20"/>
                <w:color w:val="auto"/>
              </w:rPr>
            </w:pPr>
            <w:r>
              <w:rPr>
                <w:rFonts w:ascii="Arial" w:cs="Arial" w:eastAsia="Arial" w:hAnsi="Arial"/>
                <w:sz w:val="6"/>
                <w:szCs w:val="6"/>
                <w:color w:val="auto"/>
              </w:rPr>
              <w:t>(14)</w:t>
            </w:r>
          </w:p>
        </w:tc>
        <w:tc>
          <w:tcPr>
            <w:tcW w:w="1540" w:type="dxa"/>
            <w:vAlign w:val="bottom"/>
            <w:vMerge w:val="restart"/>
            <w:shd w:val="clear" w:color="auto" w:fill="DBDBDB"/>
          </w:tcPr>
          <w:p>
            <w:pPr>
              <w:jc w:val="center"/>
              <w:ind w:left="453"/>
              <w:spacing w:after="0"/>
              <w:rPr>
                <w:sz w:val="20"/>
                <w:szCs w:val="20"/>
                <w:color w:val="auto"/>
              </w:rPr>
            </w:pPr>
            <w:r>
              <w:rPr>
                <w:rFonts w:ascii="Arial" w:cs="Arial" w:eastAsia="Arial" w:hAnsi="Arial"/>
                <w:sz w:val="10"/>
                <w:szCs w:val="10"/>
                <w:color w:val="auto"/>
                <w:w w:val="99"/>
              </w:rPr>
              <w:t>672,241</w:t>
            </w:r>
          </w:p>
        </w:tc>
        <w:tc>
          <w:tcPr>
            <w:tcW w:w="5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40" w:type="dxa"/>
            <w:vAlign w:val="bottom"/>
            <w:shd w:val="clear" w:color="auto" w:fill="DBDBDB"/>
          </w:tcPr>
          <w:p>
            <w:pPr>
              <w:spacing w:after="0"/>
              <w:rPr>
                <w:sz w:val="8"/>
                <w:szCs w:val="8"/>
                <w:color w:val="auto"/>
              </w:rPr>
            </w:pPr>
          </w:p>
        </w:tc>
        <w:tc>
          <w:tcPr>
            <w:tcW w:w="194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70"/>
        </w:trPr>
        <w:tc>
          <w:tcPr>
            <w:tcW w:w="2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920" w:type="dxa"/>
            <w:vAlign w:val="bottom"/>
            <w:vMerge w:val="continue"/>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1540" w:type="dxa"/>
            <w:vAlign w:val="bottom"/>
            <w:vMerge w:val="continue"/>
            <w:shd w:val="clear" w:color="auto" w:fill="DBDBDB"/>
          </w:tcPr>
          <w:p>
            <w:pPr>
              <w:spacing w:after="0"/>
              <w:rPr>
                <w:sz w:val="6"/>
                <w:szCs w:val="6"/>
                <w:color w:val="auto"/>
              </w:rPr>
            </w:pPr>
          </w:p>
        </w:tc>
        <w:tc>
          <w:tcPr>
            <w:tcW w:w="5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040" w:type="dxa"/>
            <w:vAlign w:val="bottom"/>
            <w:vMerge w:val="continue"/>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9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20"/>
                <w:szCs w:val="20"/>
                <w:color w:val="auto"/>
              </w:rPr>
            </w:pPr>
            <w:r>
              <w:rPr>
                <w:rFonts w:ascii="Arial" w:cs="Arial" w:eastAsia="Arial" w:hAnsi="Arial"/>
                <w:sz w:val="10"/>
                <w:szCs w:val="10"/>
                <w:color w:val="auto"/>
              </w:rPr>
              <w:t>Ty R.</w:t>
            </w:r>
          </w:p>
        </w:tc>
        <w:tc>
          <w:tcPr>
            <w:tcW w:w="16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360" w:type="dxa"/>
            <w:vAlign w:val="bottom"/>
          </w:tcPr>
          <w:p>
            <w:pPr>
              <w:spacing w:after="0"/>
              <w:rPr>
                <w:sz w:val="11"/>
                <w:szCs w:val="11"/>
                <w:color w:val="auto"/>
              </w:rPr>
            </w:pPr>
          </w:p>
        </w:tc>
        <w:tc>
          <w:tcPr>
            <w:tcW w:w="1540" w:type="dxa"/>
            <w:vAlign w:val="bottom"/>
          </w:tcPr>
          <w:p>
            <w:pPr>
              <w:jc w:val="center"/>
              <w:ind w:left="453"/>
              <w:spacing w:after="0"/>
              <w:rPr>
                <w:sz w:val="20"/>
                <w:szCs w:val="20"/>
                <w:color w:val="auto"/>
              </w:rPr>
            </w:pPr>
            <w:r>
              <w:rPr>
                <w:rFonts w:ascii="Arial" w:cs="Arial" w:eastAsia="Arial" w:hAnsi="Arial"/>
                <w:sz w:val="10"/>
                <w:szCs w:val="10"/>
                <w:color w:val="auto"/>
                <w:w w:val="79"/>
              </w:rPr>
              <w: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340" w:type="dxa"/>
            <w:vAlign w:val="bottom"/>
          </w:tcPr>
          <w:p>
            <w:pPr>
              <w:spacing w:after="0"/>
              <w:rPr>
                <w:sz w:val="11"/>
                <w:szCs w:val="11"/>
                <w:color w:val="auto"/>
              </w:rPr>
            </w:pPr>
          </w:p>
        </w:tc>
        <w:tc>
          <w:tcPr>
            <w:tcW w:w="19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20"/>
                <w:szCs w:val="20"/>
                <w:color w:val="auto"/>
              </w:rPr>
            </w:pPr>
            <w:r>
              <w:rPr>
                <w:rFonts w:ascii="Arial" w:cs="Arial" w:eastAsia="Arial" w:hAnsi="Arial"/>
                <w:sz w:val="10"/>
                <w:szCs w:val="10"/>
                <w:color w:val="auto"/>
              </w:rPr>
              <w:t>Silberhorn</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DBDBDB"/>
          </w:tcPr>
          <w:p>
            <w:pPr>
              <w:spacing w:after="0"/>
              <w:rPr>
                <w:sz w:val="20"/>
                <w:szCs w:val="20"/>
                <w:color w:val="auto"/>
              </w:rPr>
            </w:pPr>
            <w:r>
              <w:rPr>
                <w:rFonts w:ascii="Arial" w:cs="Arial" w:eastAsia="Arial" w:hAnsi="Arial"/>
                <w:sz w:val="10"/>
                <w:szCs w:val="10"/>
                <w:color w:val="auto"/>
              </w:rPr>
              <w:t>Matthew J.</w:t>
            </w:r>
          </w:p>
        </w:tc>
        <w:tc>
          <w:tcPr>
            <w:tcW w:w="160" w:type="dxa"/>
            <w:vAlign w:val="bottom"/>
            <w:shd w:val="clear" w:color="auto" w:fill="DBDBDB"/>
          </w:tcPr>
          <w:p>
            <w:pPr>
              <w:spacing w:after="0"/>
              <w:rPr>
                <w:sz w:val="11"/>
                <w:szCs w:val="11"/>
                <w:color w:val="auto"/>
              </w:rPr>
            </w:pPr>
          </w:p>
        </w:tc>
        <w:tc>
          <w:tcPr>
            <w:tcW w:w="19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DBDBDB"/>
          </w:tcPr>
          <w:p>
            <w:pPr>
              <w:spacing w:after="0"/>
              <w:rPr>
                <w:sz w:val="11"/>
                <w:szCs w:val="11"/>
                <w:color w:val="auto"/>
              </w:rPr>
            </w:pPr>
          </w:p>
        </w:tc>
        <w:tc>
          <w:tcPr>
            <w:tcW w:w="1540" w:type="dxa"/>
            <w:vAlign w:val="bottom"/>
            <w:shd w:val="clear" w:color="auto" w:fill="DBDBDB"/>
          </w:tcPr>
          <w:p>
            <w:pPr>
              <w:jc w:val="center"/>
              <w:ind w:left="453"/>
              <w:spacing w:after="0"/>
              <w:rPr>
                <w:sz w:val="20"/>
                <w:szCs w:val="20"/>
                <w:color w:val="auto"/>
              </w:rPr>
            </w:pPr>
            <w:r>
              <w:rPr>
                <w:rFonts w:ascii="Arial" w:cs="Arial" w:eastAsia="Arial" w:hAnsi="Arial"/>
                <w:sz w:val="10"/>
                <w:szCs w:val="10"/>
                <w:color w:val="auto"/>
                <w:w w:val="79"/>
              </w:rPr>
              <w:t>—</w:t>
            </w:r>
          </w:p>
        </w:tc>
        <w:tc>
          <w:tcPr>
            <w:tcW w:w="5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340" w:type="dxa"/>
            <w:vAlign w:val="bottom"/>
            <w:shd w:val="clear" w:color="auto" w:fill="DBDBDB"/>
          </w:tcPr>
          <w:p>
            <w:pPr>
              <w:spacing w:after="0"/>
              <w:rPr>
                <w:sz w:val="11"/>
                <w:szCs w:val="11"/>
                <w:color w:val="auto"/>
              </w:rPr>
            </w:pPr>
          </w:p>
        </w:tc>
        <w:tc>
          <w:tcPr>
            <w:tcW w:w="194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40"/>
        </w:trPr>
        <w:tc>
          <w:tcPr>
            <w:tcW w:w="2260" w:type="dxa"/>
            <w:vAlign w:val="bottom"/>
            <w:shd w:val="clear" w:color="auto" w:fill="DBDBDB"/>
          </w:tcPr>
          <w:p>
            <w:pPr>
              <w:spacing w:after="0"/>
              <w:rPr>
                <w:sz w:val="20"/>
                <w:szCs w:val="20"/>
                <w:color w:val="auto"/>
              </w:rPr>
            </w:pPr>
            <w:r>
              <w:rPr>
                <w:rFonts w:ascii="Arial" w:cs="Arial" w:eastAsia="Arial" w:hAnsi="Arial"/>
                <w:sz w:val="10"/>
                <w:szCs w:val="10"/>
                <w:color w:val="auto"/>
              </w:rPr>
              <w:t>Osberg</w:t>
            </w:r>
          </w:p>
        </w:tc>
        <w:tc>
          <w:tcPr>
            <w:tcW w:w="160" w:type="dxa"/>
            <w:vAlign w:val="bottom"/>
            <w:shd w:val="clear" w:color="auto" w:fill="DBDBDB"/>
          </w:tcPr>
          <w:p>
            <w:pPr>
              <w:spacing w:after="0"/>
              <w:rPr>
                <w:sz w:val="12"/>
                <w:szCs w:val="12"/>
                <w:color w:val="auto"/>
              </w:rPr>
            </w:pPr>
          </w:p>
        </w:tc>
        <w:tc>
          <w:tcPr>
            <w:tcW w:w="192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54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4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9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28" w:hanging="328"/>
        <w:spacing w:after="0" w:line="286" w:lineRule="auto"/>
        <w:tabs>
          <w:tab w:leader="none" w:pos="322"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market value is calculated by multiplying $39.82, the closing price of our common stock on the Nasdaq Global Select Market on February 27, 2026, the last trading day of fiscal 2026, by the number of shares of restricted stock that had not vested or the number of unearned performance share units as of February 28, 2026, the last day of fiscal 2026.</w:t>
      </w:r>
    </w:p>
    <w:p>
      <w:pPr>
        <w:spacing w:after="0" w:line="31"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Includes the performance share units with three-year performance periods until payout. At the beginning of each performance period, the threshold, target and maximum award levels are set. Our performance award program is described under the heading “Performance Awards” beginning on page </w:t>
      </w:r>
      <w:r>
        <w:rPr>
          <w:rFonts w:ascii="Arial" w:cs="Arial" w:eastAsia="Arial" w:hAnsi="Arial"/>
          <w:sz w:val="12"/>
          <w:szCs w:val="12"/>
          <w:u w:val="single" w:color="auto"/>
          <w:color w:val="0000FF"/>
        </w:rPr>
        <w:t>48</w:t>
      </w:r>
      <w:r>
        <w:rPr>
          <w:rFonts w:ascii="Arial" w:cs="Arial" w:eastAsia="Arial" w:hAnsi="Arial"/>
          <w:sz w:val="12"/>
          <w:szCs w:val="12"/>
          <w:color w:val="auto"/>
        </w:rPr>
        <w:t>.</w:t>
      </w:r>
    </w:p>
    <w:p>
      <w:pPr>
        <w:spacing w:after="0" w:line="31" w:lineRule="exact"/>
        <w:rPr>
          <w:rFonts w:ascii="Arial" w:cs="Arial" w:eastAsia="Arial" w:hAnsi="Arial"/>
          <w:sz w:val="12"/>
          <w:szCs w:val="12"/>
          <w:color w:val="auto"/>
        </w:rPr>
      </w:pPr>
    </w:p>
    <w:p>
      <w:pPr>
        <w:ind w:left="328" w:right="20" w:hanging="328"/>
        <w:spacing w:after="0" w:line="286" w:lineRule="auto"/>
        <w:tabs>
          <w:tab w:leader="none" w:pos="322"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Represents an unvested award granted on January 14, 2026, which vests on January 14, 2027. Based on Mr. Nolan's election, 41,854 were granted as deferred restricted stock units and 7,386 were granted as an unvested restricted stock award.</w:t>
      </w:r>
    </w:p>
    <w:p>
      <w:pPr>
        <w:spacing w:after="0" w:line="31" w:lineRule="exact"/>
        <w:rPr>
          <w:rFonts w:ascii="Arial" w:cs="Arial" w:eastAsia="Arial" w:hAnsi="Arial"/>
          <w:sz w:val="12"/>
          <w:szCs w:val="12"/>
          <w:color w:val="auto"/>
        </w:rPr>
      </w:pPr>
    </w:p>
    <w:p>
      <w:pPr>
        <w:jc w:val="both"/>
        <w:ind w:left="328" w:hanging="328"/>
        <w:spacing w:after="0" w:line="268" w:lineRule="auto"/>
        <w:tabs>
          <w:tab w:leader="none" w:pos="322"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Represents the performance share units granted on June 21, 2023 for Mr. Augdahl, and on April 19, 2023 for Messrs. T. Johnson and Jewell, for the three-year performance period beginning on the first day of fiscal 2024 and ending on the last day of fiscal 2026, which will only be earned if the predetermined goal for the performance period is met. The number of shares is equal to the target number of performance share units.</w:t>
      </w:r>
    </w:p>
    <w:p>
      <w:pPr>
        <w:spacing w:after="0" w:line="41" w:lineRule="exact"/>
        <w:rPr>
          <w:rFonts w:ascii="Arial" w:cs="Arial" w:eastAsia="Arial" w:hAnsi="Arial"/>
          <w:sz w:val="12"/>
          <w:szCs w:val="12"/>
          <w:color w:val="auto"/>
        </w:rPr>
      </w:pPr>
    </w:p>
    <w:p>
      <w:pPr>
        <w:ind w:left="328"/>
        <w:spacing w:after="0" w:line="286" w:lineRule="auto"/>
        <w:rPr>
          <w:rFonts w:ascii="Arial" w:cs="Arial" w:eastAsia="Arial" w:hAnsi="Arial"/>
          <w:sz w:val="12"/>
          <w:szCs w:val="12"/>
          <w:color w:val="auto"/>
        </w:rPr>
      </w:pPr>
      <w:r>
        <w:rPr>
          <w:rFonts w:ascii="Arial" w:cs="Arial" w:eastAsia="Arial" w:hAnsi="Arial"/>
          <w:sz w:val="12"/>
          <w:szCs w:val="12"/>
          <w:color w:val="auto"/>
        </w:rPr>
        <w:t>For each of our Named Executive Officers, the number of shares of our common stock that may be earned as a payout based on threshold, target and maximum performance levels during the three-year performance period is set forth below.</w:t>
      </w:r>
    </w:p>
    <w:p>
      <w:pPr>
        <w:spacing w:after="0" w:line="145" w:lineRule="exact"/>
        <w:rPr>
          <w:sz w:val="20"/>
          <w:szCs w:val="20"/>
          <w:color w:val="auto"/>
        </w:rPr>
      </w:pPr>
    </w:p>
    <w:tbl>
      <w:tblPr>
        <w:tblLayout w:type="fixed"/>
        <w:tblInd w:w="868" w:type="dxa"/>
        <w:tblCellMar>
          <w:top w:w="0" w:type="dxa"/>
          <w:left w:w="0" w:type="dxa"/>
          <w:bottom w:w="0" w:type="dxa"/>
          <w:right w:w="0" w:type="dxa"/>
        </w:tblCellMar>
      </w:tblPr>
      <w:tr>
        <w:trPr>
          <w:trHeight w:val="117"/>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20" w:type="dxa"/>
            <w:vAlign w:val="bottom"/>
            <w:gridSpan w:val="3"/>
          </w:tcPr>
          <w:p>
            <w:pPr>
              <w:jc w:val="center"/>
              <w:spacing w:after="0"/>
              <w:rPr>
                <w:sz w:val="20"/>
                <w:szCs w:val="20"/>
                <w:color w:val="auto"/>
              </w:rPr>
            </w:pPr>
            <w:r>
              <w:rPr>
                <w:rFonts w:ascii="Arial" w:cs="Arial" w:eastAsia="Arial" w:hAnsi="Arial"/>
                <w:sz w:val="10"/>
                <w:szCs w:val="10"/>
                <w:b w:val="1"/>
                <w:bCs w:val="1"/>
                <w:color w:val="05445E"/>
                <w:w w:val="96"/>
              </w:rPr>
              <w:t>Estimated Future Payouts Based</w:t>
            </w:r>
          </w:p>
        </w:tc>
        <w:tc>
          <w:tcPr>
            <w:tcW w:w="1380" w:type="dxa"/>
            <w:vAlign w:val="bottom"/>
          </w:tcPr>
          <w:p>
            <w:pPr>
              <w:spacing w:after="0"/>
              <w:rPr>
                <w:sz w:val="10"/>
                <w:szCs w:val="10"/>
                <w:color w:val="auto"/>
              </w:rPr>
            </w:pPr>
          </w:p>
        </w:tc>
      </w:tr>
      <w:tr>
        <w:trPr>
          <w:trHeight w:val="136"/>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05445E"/>
                <w:w w:val="96"/>
              </w:rPr>
              <w:t>On Performance Level</w:t>
            </w:r>
          </w:p>
        </w:tc>
        <w:tc>
          <w:tcPr>
            <w:tcW w:w="1380" w:type="dxa"/>
            <w:vAlign w:val="bottom"/>
            <w:tcBorders>
              <w:bottom w:val="single" w:sz="8" w:color="auto"/>
            </w:tcBorders>
          </w:tcPr>
          <w:p>
            <w:pPr>
              <w:spacing w:after="0"/>
              <w:rPr>
                <w:sz w:val="11"/>
                <w:szCs w:val="11"/>
                <w:color w:val="auto"/>
              </w:rPr>
            </w:pPr>
          </w:p>
        </w:tc>
      </w:tr>
      <w:tr>
        <w:trPr>
          <w:trHeight w:val="123"/>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05445E"/>
                <w:w w:val="94"/>
              </w:rPr>
              <w:t>Performance</w:t>
            </w:r>
          </w:p>
        </w:tc>
        <w:tc>
          <w:tcPr>
            <w:tcW w:w="1380" w:type="dxa"/>
            <w:vAlign w:val="bottom"/>
          </w:tcPr>
          <w:p>
            <w:pPr>
              <w:ind w:left="460"/>
              <w:spacing w:after="0"/>
              <w:rPr>
                <w:sz w:val="20"/>
                <w:szCs w:val="20"/>
                <w:color w:val="auto"/>
              </w:rPr>
            </w:pPr>
            <w:r>
              <w:rPr>
                <w:rFonts w:ascii="Arial" w:cs="Arial" w:eastAsia="Arial" w:hAnsi="Arial"/>
                <w:sz w:val="10"/>
                <w:szCs w:val="10"/>
                <w:b w:val="1"/>
                <w:bCs w:val="1"/>
                <w:color w:val="05445E"/>
              </w:rPr>
              <w:t>Threshold</w:t>
            </w:r>
          </w:p>
        </w:tc>
        <w:tc>
          <w:tcPr>
            <w:tcW w:w="80" w:type="dxa"/>
            <w:vAlign w:val="bottom"/>
          </w:tcPr>
          <w:p>
            <w:pPr>
              <w:spacing w:after="0"/>
              <w:rPr>
                <w:sz w:val="10"/>
                <w:szCs w:val="1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1"/>
              </w:rPr>
              <w:t>Target</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05445E"/>
                <w:w w:val="99"/>
              </w:rPr>
              <w:t>Maximum</w:t>
            </w:r>
          </w:p>
        </w:tc>
      </w:tr>
      <w:tr>
        <w:trPr>
          <w:trHeight w:val="136"/>
        </w:trPr>
        <w:tc>
          <w:tcPr>
            <w:tcW w:w="2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5445E"/>
              </w:rPr>
              <w:t>Name</w:t>
            </w:r>
          </w:p>
        </w:tc>
        <w:tc>
          <w:tcPr>
            <w:tcW w:w="80" w:type="dxa"/>
            <w:vAlign w:val="bottom"/>
            <w:tcBorders>
              <w:bottom w:val="single" w:sz="8" w:color="D9D9D9"/>
            </w:tcBorders>
          </w:tcPr>
          <w:p>
            <w:pPr>
              <w:spacing w:after="0"/>
              <w:rPr>
                <w:sz w:val="11"/>
                <w:szCs w:val="1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6"/>
              </w:rPr>
              <w:t>Period</w:t>
            </w:r>
          </w:p>
        </w:tc>
        <w:tc>
          <w:tcPr>
            <w:tcW w:w="80" w:type="dxa"/>
            <w:vAlign w:val="bottom"/>
            <w:tcBorders>
              <w:bottom w:val="single" w:sz="8" w:color="D9D9D9"/>
            </w:tcBorders>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Borders>
              <w:bottom w:val="single" w:sz="8" w:color="D9D9D9"/>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Borders>
              <w:bottom w:val="single" w:sz="8" w:color="D9D9D9"/>
            </w:tcBorders>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1"/>
              </w:rPr>
              <w:t>(#)</w:t>
            </w:r>
          </w:p>
        </w:tc>
      </w:tr>
      <w:tr>
        <w:trPr>
          <w:trHeight w:val="148"/>
        </w:trPr>
        <w:tc>
          <w:tcPr>
            <w:tcW w:w="2880" w:type="dxa"/>
            <w:vAlign w:val="bottom"/>
            <w:gridSpan w:val="2"/>
            <w:shd w:val="clear" w:color="auto" w:fill="D9D9D9"/>
          </w:tcPr>
          <w:p>
            <w:pPr>
              <w:spacing w:after="0"/>
              <w:rPr>
                <w:sz w:val="20"/>
                <w:szCs w:val="20"/>
                <w:color w:val="auto"/>
              </w:rPr>
            </w:pPr>
            <w:r>
              <w:rPr>
                <w:rFonts w:ascii="Arial" w:cs="Arial" w:eastAsia="Arial" w:hAnsi="Arial"/>
                <w:sz w:val="10"/>
                <w:szCs w:val="10"/>
                <w:color w:val="auto"/>
              </w:rPr>
              <w:t>Donald A. Nolan</w:t>
            </w:r>
          </w:p>
        </w:tc>
        <w:tc>
          <w:tcPr>
            <w:tcW w:w="1760" w:type="dxa"/>
            <w:vAlign w:val="bottom"/>
            <w:gridSpan w:val="2"/>
            <w:shd w:val="clear" w:color="auto" w:fill="D9D9D9"/>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shd w:val="clear" w:color="auto" w:fill="D9D9D9"/>
          </w:tcPr>
          <w:p>
            <w:pPr>
              <w:ind w:left="920"/>
              <w:spacing w:after="0"/>
              <w:rPr>
                <w:sz w:val="20"/>
                <w:szCs w:val="20"/>
                <w:color w:val="auto"/>
              </w:rPr>
            </w:pPr>
            <w:r>
              <w:rPr>
                <w:rFonts w:ascii="Arial" w:cs="Arial" w:eastAsia="Arial" w:hAnsi="Arial"/>
                <w:sz w:val="10"/>
                <w:szCs w:val="10"/>
                <w:color w:val="auto"/>
              </w:rPr>
              <w:t>N/A</w:t>
            </w:r>
          </w:p>
        </w:tc>
        <w:tc>
          <w:tcPr>
            <w:tcW w:w="80" w:type="dxa"/>
            <w:vAlign w:val="bottom"/>
            <w:shd w:val="clear" w:color="auto" w:fill="D9D9D9"/>
          </w:tcPr>
          <w:p>
            <w:pPr>
              <w:spacing w:after="0"/>
              <w:rPr>
                <w:sz w:val="12"/>
                <w:szCs w:val="12"/>
                <w:color w:val="auto"/>
              </w:rPr>
            </w:pPr>
          </w:p>
        </w:tc>
        <w:tc>
          <w:tcPr>
            <w:tcW w:w="1440" w:type="dxa"/>
            <w:vAlign w:val="bottom"/>
            <w:gridSpan w:val="2"/>
            <w:shd w:val="clear" w:color="auto" w:fill="D9D9D9"/>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N/A</w:t>
            </w:r>
          </w:p>
        </w:tc>
      </w:tr>
      <w:tr>
        <w:trPr>
          <w:trHeight w:val="145"/>
        </w:trPr>
        <w:tc>
          <w:tcPr>
            <w:tcW w:w="2880" w:type="dxa"/>
            <w:vAlign w:val="bottom"/>
            <w:gridSpan w:val="2"/>
          </w:tcPr>
          <w:p>
            <w:pPr>
              <w:spacing w:after="0"/>
              <w:rPr>
                <w:sz w:val="20"/>
                <w:szCs w:val="20"/>
                <w:color w:val="auto"/>
              </w:rPr>
            </w:pPr>
            <w:r>
              <w:rPr>
                <w:rFonts w:ascii="Arial" w:cs="Arial" w:eastAsia="Arial" w:hAnsi="Arial"/>
                <w:sz w:val="10"/>
                <w:szCs w:val="10"/>
                <w:color w:val="auto"/>
              </w:rPr>
              <w:t>Mark R. Augdahl</w:t>
            </w:r>
          </w:p>
        </w:tc>
        <w:tc>
          <w:tcPr>
            <w:tcW w:w="1760" w:type="dxa"/>
            <w:vAlign w:val="bottom"/>
            <w:gridSpan w:val="2"/>
          </w:tcPr>
          <w:p>
            <w:pPr>
              <w:jc w:val="center"/>
              <w:ind w:right="60"/>
              <w:spacing w:after="0"/>
              <w:rPr>
                <w:sz w:val="20"/>
                <w:szCs w:val="20"/>
                <w:color w:val="auto"/>
              </w:rPr>
            </w:pPr>
            <w:r>
              <w:rPr>
                <w:rFonts w:ascii="Arial" w:cs="Arial" w:eastAsia="Arial" w:hAnsi="Arial"/>
                <w:sz w:val="10"/>
                <w:szCs w:val="10"/>
                <w:color w:val="auto"/>
                <w:w w:val="94"/>
              </w:rPr>
              <w:t>Fiscal 2024 - 2026</w:t>
            </w:r>
          </w:p>
        </w:tc>
        <w:tc>
          <w:tcPr>
            <w:tcW w:w="1380" w:type="dxa"/>
            <w:vAlign w:val="bottom"/>
          </w:tcPr>
          <w:p>
            <w:pPr>
              <w:ind w:left="920"/>
              <w:spacing w:after="0"/>
              <w:rPr>
                <w:sz w:val="20"/>
                <w:szCs w:val="20"/>
                <w:color w:val="auto"/>
              </w:rPr>
            </w:pPr>
            <w:r>
              <w:rPr>
                <w:rFonts w:ascii="Arial" w:cs="Arial" w:eastAsia="Arial" w:hAnsi="Arial"/>
                <w:sz w:val="10"/>
                <w:szCs w:val="10"/>
                <w:color w:val="auto"/>
              </w:rPr>
              <w:t>541</w:t>
            </w:r>
          </w:p>
        </w:tc>
        <w:tc>
          <w:tcPr>
            <w:tcW w:w="1440" w:type="dxa"/>
            <w:vAlign w:val="bottom"/>
            <w:gridSpan w:val="2"/>
          </w:tcPr>
          <w:p>
            <w:pPr>
              <w:jc w:val="right"/>
              <w:ind w:right="252"/>
              <w:spacing w:after="0"/>
              <w:rPr>
                <w:sz w:val="20"/>
                <w:szCs w:val="20"/>
                <w:color w:val="auto"/>
              </w:rPr>
            </w:pPr>
            <w:r>
              <w:rPr>
                <w:rFonts w:ascii="Arial" w:cs="Arial" w:eastAsia="Arial" w:hAnsi="Arial"/>
                <w:sz w:val="10"/>
                <w:szCs w:val="10"/>
                <w:color w:val="auto"/>
              </w:rPr>
              <w:t>1,081</w:t>
            </w:r>
          </w:p>
        </w:tc>
        <w:tc>
          <w:tcPr>
            <w:tcW w:w="80" w:type="dxa"/>
            <w:vAlign w:val="bottom"/>
          </w:tcPr>
          <w:p>
            <w:pPr>
              <w:spacing w:after="0"/>
              <w:rPr>
                <w:sz w:val="12"/>
                <w:szCs w:val="12"/>
                <w:color w:val="auto"/>
              </w:rPr>
            </w:pPr>
          </w:p>
        </w:tc>
        <w:tc>
          <w:tcPr>
            <w:tcW w:w="1380" w:type="dxa"/>
            <w:vAlign w:val="bottom"/>
          </w:tcPr>
          <w:p>
            <w:pPr>
              <w:jc w:val="right"/>
              <w:ind w:right="252"/>
              <w:spacing w:after="0"/>
              <w:rPr>
                <w:sz w:val="20"/>
                <w:szCs w:val="20"/>
                <w:color w:val="auto"/>
              </w:rPr>
            </w:pPr>
            <w:r>
              <w:rPr>
                <w:rFonts w:ascii="Arial" w:cs="Arial" w:eastAsia="Arial" w:hAnsi="Arial"/>
                <w:sz w:val="10"/>
                <w:szCs w:val="10"/>
                <w:color w:val="auto"/>
              </w:rPr>
              <w:t>2,162</w:t>
            </w:r>
          </w:p>
        </w:tc>
      </w:tr>
      <w:tr>
        <w:trPr>
          <w:trHeight w:val="160"/>
        </w:trPr>
        <w:tc>
          <w:tcPr>
            <w:tcW w:w="2880" w:type="dxa"/>
            <w:vAlign w:val="bottom"/>
            <w:gridSpan w:val="2"/>
            <w:shd w:val="clear" w:color="auto" w:fill="D9D9D9"/>
          </w:tcPr>
          <w:p>
            <w:pPr>
              <w:spacing w:after="0"/>
              <w:rPr>
                <w:sz w:val="20"/>
                <w:szCs w:val="20"/>
                <w:color w:val="auto"/>
              </w:rPr>
            </w:pPr>
            <w:r>
              <w:rPr>
                <w:rFonts w:ascii="Arial" w:cs="Arial" w:eastAsia="Arial" w:hAnsi="Arial"/>
                <w:sz w:val="10"/>
                <w:szCs w:val="10"/>
                <w:color w:val="auto"/>
              </w:rPr>
              <w:t>Troy R. Johnson</w:t>
            </w:r>
          </w:p>
        </w:tc>
        <w:tc>
          <w:tcPr>
            <w:tcW w:w="1760" w:type="dxa"/>
            <w:vAlign w:val="bottom"/>
            <w:gridSpan w:val="2"/>
            <w:shd w:val="clear" w:color="auto" w:fill="D9D9D9"/>
          </w:tcPr>
          <w:p>
            <w:pPr>
              <w:jc w:val="center"/>
              <w:ind w:right="60"/>
              <w:spacing w:after="0"/>
              <w:rPr>
                <w:sz w:val="20"/>
                <w:szCs w:val="20"/>
                <w:color w:val="auto"/>
              </w:rPr>
            </w:pPr>
            <w:r>
              <w:rPr>
                <w:rFonts w:ascii="Arial" w:cs="Arial" w:eastAsia="Arial" w:hAnsi="Arial"/>
                <w:sz w:val="10"/>
                <w:szCs w:val="10"/>
                <w:color w:val="auto"/>
                <w:w w:val="94"/>
              </w:rPr>
              <w:t>Fiscal 2024 - 2026</w:t>
            </w:r>
          </w:p>
        </w:tc>
        <w:tc>
          <w:tcPr>
            <w:tcW w:w="13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1,425</w:t>
            </w:r>
          </w:p>
        </w:tc>
        <w:tc>
          <w:tcPr>
            <w:tcW w:w="1440" w:type="dxa"/>
            <w:vAlign w:val="bottom"/>
            <w:gridSpan w:val="2"/>
            <w:shd w:val="clear" w:color="auto" w:fill="D9D9D9"/>
          </w:tcPr>
          <w:p>
            <w:pPr>
              <w:jc w:val="right"/>
              <w:ind w:right="252"/>
              <w:spacing w:after="0"/>
              <w:rPr>
                <w:sz w:val="20"/>
                <w:szCs w:val="20"/>
                <w:color w:val="auto"/>
              </w:rPr>
            </w:pPr>
            <w:r>
              <w:rPr>
                <w:rFonts w:ascii="Arial" w:cs="Arial" w:eastAsia="Arial" w:hAnsi="Arial"/>
                <w:sz w:val="10"/>
                <w:szCs w:val="10"/>
                <w:color w:val="auto"/>
              </w:rPr>
              <w:t>2,849</w:t>
            </w:r>
          </w:p>
        </w:tc>
        <w:tc>
          <w:tcPr>
            <w:tcW w:w="80" w:type="dxa"/>
            <w:vAlign w:val="bottom"/>
            <w:shd w:val="clear" w:color="auto" w:fill="D9D9D9"/>
          </w:tcPr>
          <w:p>
            <w:pPr>
              <w:spacing w:after="0"/>
              <w:rPr>
                <w:sz w:val="13"/>
                <w:szCs w:val="13"/>
                <w:color w:val="auto"/>
              </w:rPr>
            </w:pPr>
          </w:p>
        </w:tc>
        <w:tc>
          <w:tcPr>
            <w:tcW w:w="13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5,698</w:t>
            </w:r>
          </w:p>
        </w:tc>
      </w:tr>
      <w:tr>
        <w:trPr>
          <w:trHeight w:val="146"/>
        </w:trPr>
        <w:tc>
          <w:tcPr>
            <w:tcW w:w="2880" w:type="dxa"/>
            <w:vAlign w:val="bottom"/>
            <w:gridSpan w:val="2"/>
          </w:tcPr>
          <w:p>
            <w:pPr>
              <w:spacing w:after="0"/>
              <w:rPr>
                <w:sz w:val="20"/>
                <w:szCs w:val="20"/>
                <w:color w:val="auto"/>
              </w:rPr>
            </w:pPr>
            <w:r>
              <w:rPr>
                <w:rFonts w:ascii="Arial" w:cs="Arial" w:eastAsia="Arial" w:hAnsi="Arial"/>
                <w:sz w:val="10"/>
                <w:szCs w:val="10"/>
                <w:color w:val="auto"/>
              </w:rPr>
              <w:t>Veena M. Lakkundi</w:t>
            </w:r>
          </w:p>
        </w:tc>
        <w:tc>
          <w:tcPr>
            <w:tcW w:w="176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tcPr>
          <w:p>
            <w:pPr>
              <w:ind w:left="920"/>
              <w:spacing w:after="0"/>
              <w:rPr>
                <w:sz w:val="20"/>
                <w:szCs w:val="20"/>
                <w:color w:val="auto"/>
              </w:rPr>
            </w:pPr>
            <w:r>
              <w:rPr>
                <w:rFonts w:ascii="Arial" w:cs="Arial" w:eastAsia="Arial" w:hAnsi="Arial"/>
                <w:sz w:val="10"/>
                <w:szCs w:val="10"/>
                <w:color w:val="auto"/>
              </w:rPr>
              <w:t>N/A</w:t>
            </w: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tcPr>
          <w:p>
            <w:pPr>
              <w:jc w:val="center"/>
              <w:spacing w:after="0"/>
              <w:rPr>
                <w:sz w:val="20"/>
                <w:szCs w:val="20"/>
                <w:color w:val="auto"/>
              </w:rPr>
            </w:pPr>
            <w:r>
              <w:rPr>
                <w:rFonts w:ascii="Arial" w:cs="Arial" w:eastAsia="Arial" w:hAnsi="Arial"/>
                <w:sz w:val="10"/>
                <w:szCs w:val="10"/>
                <w:color w:val="auto"/>
                <w:w w:val="95"/>
              </w:rPr>
              <w:t>N/A</w:t>
            </w:r>
          </w:p>
        </w:tc>
      </w:tr>
      <w:tr>
        <w:trPr>
          <w:trHeight w:val="160"/>
        </w:trPr>
        <w:tc>
          <w:tcPr>
            <w:tcW w:w="2880" w:type="dxa"/>
            <w:vAlign w:val="bottom"/>
            <w:gridSpan w:val="2"/>
            <w:shd w:val="clear" w:color="auto" w:fill="D9D9D9"/>
          </w:tcPr>
          <w:p>
            <w:pPr>
              <w:spacing w:after="0"/>
              <w:rPr>
                <w:sz w:val="20"/>
                <w:szCs w:val="20"/>
                <w:color w:val="auto"/>
              </w:rPr>
            </w:pPr>
            <w:r>
              <w:rPr>
                <w:rFonts w:ascii="Arial" w:cs="Arial" w:eastAsia="Arial" w:hAnsi="Arial"/>
                <w:sz w:val="10"/>
                <w:szCs w:val="10"/>
                <w:color w:val="auto"/>
              </w:rPr>
              <w:t>Brent C. Jewell</w:t>
            </w:r>
          </w:p>
        </w:tc>
        <w:tc>
          <w:tcPr>
            <w:tcW w:w="1760" w:type="dxa"/>
            <w:vAlign w:val="bottom"/>
            <w:gridSpan w:val="2"/>
            <w:shd w:val="clear" w:color="auto" w:fill="D9D9D9"/>
          </w:tcPr>
          <w:p>
            <w:pPr>
              <w:jc w:val="center"/>
              <w:ind w:right="60"/>
              <w:spacing w:after="0"/>
              <w:rPr>
                <w:sz w:val="20"/>
                <w:szCs w:val="20"/>
                <w:color w:val="auto"/>
              </w:rPr>
            </w:pPr>
            <w:r>
              <w:rPr>
                <w:rFonts w:ascii="Arial" w:cs="Arial" w:eastAsia="Arial" w:hAnsi="Arial"/>
                <w:sz w:val="10"/>
                <w:szCs w:val="10"/>
                <w:color w:val="auto"/>
                <w:w w:val="94"/>
              </w:rPr>
              <w:t>Fiscal 2024 - 2026</w:t>
            </w:r>
          </w:p>
        </w:tc>
        <w:tc>
          <w:tcPr>
            <w:tcW w:w="13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1,510</w:t>
            </w:r>
          </w:p>
        </w:tc>
        <w:tc>
          <w:tcPr>
            <w:tcW w:w="1440" w:type="dxa"/>
            <w:vAlign w:val="bottom"/>
            <w:gridSpan w:val="2"/>
            <w:shd w:val="clear" w:color="auto" w:fill="D9D9D9"/>
          </w:tcPr>
          <w:p>
            <w:pPr>
              <w:jc w:val="right"/>
              <w:ind w:right="252"/>
              <w:spacing w:after="0"/>
              <w:rPr>
                <w:sz w:val="20"/>
                <w:szCs w:val="20"/>
                <w:color w:val="auto"/>
              </w:rPr>
            </w:pPr>
            <w:r>
              <w:rPr>
                <w:rFonts w:ascii="Arial" w:cs="Arial" w:eastAsia="Arial" w:hAnsi="Arial"/>
                <w:sz w:val="10"/>
                <w:szCs w:val="10"/>
                <w:color w:val="auto"/>
              </w:rPr>
              <w:t>3,019</w:t>
            </w:r>
          </w:p>
        </w:tc>
        <w:tc>
          <w:tcPr>
            <w:tcW w:w="80" w:type="dxa"/>
            <w:vAlign w:val="bottom"/>
            <w:shd w:val="clear" w:color="auto" w:fill="D9D9D9"/>
          </w:tcPr>
          <w:p>
            <w:pPr>
              <w:spacing w:after="0"/>
              <w:rPr>
                <w:sz w:val="13"/>
                <w:szCs w:val="13"/>
                <w:color w:val="auto"/>
              </w:rPr>
            </w:pPr>
          </w:p>
        </w:tc>
        <w:tc>
          <w:tcPr>
            <w:tcW w:w="13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6,038</w:t>
            </w:r>
          </w:p>
        </w:tc>
      </w:tr>
    </w:tbl>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7" w:right="299" w:bottom="1440" w:gutter="0" w:footer="0" w:header="0"/>
        </w:sectPr>
      </w:pPr>
    </w:p>
    <w:bookmarkStart w:id="62" w:name="page63"/>
    <w:bookmarkEnd w:id="62"/>
    <w:p>
      <w:pPr>
        <w:ind w:left="328" w:hanging="328"/>
        <w:spacing w:after="0" w:line="286" w:lineRule="auto"/>
        <w:tabs>
          <w:tab w:leader="none" w:pos="322"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Represents the performance share units granted on May 1, 2024 for Messrs. Augdahl, T. Johnson and Jewell for the three-year performance period beginning on the first day of fiscal 2025 and ending on the last day of fiscal 2027, which will only be earned if the predetermined goal for the performance period is met. The number of shares is equal to the threshold number of performance share units.</w:t>
      </w:r>
    </w:p>
    <w:p>
      <w:pPr>
        <w:spacing w:after="0" w:line="31" w:lineRule="exact"/>
        <w:rPr>
          <w:rFonts w:ascii="Arial" w:cs="Arial" w:eastAsia="Arial" w:hAnsi="Arial"/>
          <w:sz w:val="12"/>
          <w:szCs w:val="12"/>
          <w:color w:val="auto"/>
        </w:rPr>
      </w:pPr>
    </w:p>
    <w:p>
      <w:pPr>
        <w:ind w:left="328"/>
        <w:spacing w:after="0" w:line="286" w:lineRule="auto"/>
        <w:rPr>
          <w:rFonts w:ascii="Arial" w:cs="Arial" w:eastAsia="Arial" w:hAnsi="Arial"/>
          <w:sz w:val="12"/>
          <w:szCs w:val="12"/>
          <w:color w:val="auto"/>
        </w:rPr>
      </w:pPr>
      <w:r>
        <w:rPr>
          <w:rFonts w:ascii="Arial" w:cs="Arial" w:eastAsia="Arial" w:hAnsi="Arial"/>
          <w:sz w:val="12"/>
          <w:szCs w:val="12"/>
          <w:color w:val="auto"/>
        </w:rPr>
        <w:t>For each of our Named Executive Officers, the number of shares of our common stock that may be earned as a payout based on threshold, target and maximum performance levels during the three-year performance period is set forth below.</w:t>
      </w:r>
    </w:p>
    <w:p>
      <w:pPr>
        <w:spacing w:after="0" w:line="145" w:lineRule="exact"/>
        <w:rPr>
          <w:sz w:val="20"/>
          <w:szCs w:val="20"/>
          <w:color w:val="auto"/>
        </w:rPr>
      </w:pPr>
    </w:p>
    <w:tbl>
      <w:tblPr>
        <w:tblLayout w:type="fixed"/>
        <w:tblInd w:w="648" w:type="dxa"/>
        <w:tblCellMar>
          <w:top w:w="0" w:type="dxa"/>
          <w:left w:w="0" w:type="dxa"/>
          <w:bottom w:w="0" w:type="dxa"/>
          <w:right w:w="0" w:type="dxa"/>
        </w:tblCellMar>
      </w:tblPr>
      <w:tr>
        <w:trPr>
          <w:trHeight w:val="117"/>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60" w:type="dxa"/>
            <w:vAlign w:val="bottom"/>
            <w:gridSpan w:val="3"/>
          </w:tcPr>
          <w:p>
            <w:pPr>
              <w:jc w:val="center"/>
              <w:spacing w:after="0"/>
              <w:rPr>
                <w:sz w:val="20"/>
                <w:szCs w:val="20"/>
                <w:color w:val="auto"/>
              </w:rPr>
            </w:pPr>
            <w:r>
              <w:rPr>
                <w:rFonts w:ascii="Arial" w:cs="Arial" w:eastAsia="Arial" w:hAnsi="Arial"/>
                <w:sz w:val="10"/>
                <w:szCs w:val="10"/>
                <w:b w:val="1"/>
                <w:bCs w:val="1"/>
                <w:color w:val="05445E"/>
                <w:w w:val="96"/>
              </w:rPr>
              <w:t>Estimated Future Payouts Based</w:t>
            </w:r>
          </w:p>
        </w:tc>
        <w:tc>
          <w:tcPr>
            <w:tcW w:w="1400" w:type="dxa"/>
            <w:vAlign w:val="bottom"/>
          </w:tcPr>
          <w:p>
            <w:pPr>
              <w:spacing w:after="0"/>
              <w:rPr>
                <w:sz w:val="10"/>
                <w:szCs w:val="10"/>
                <w:color w:val="auto"/>
              </w:rPr>
            </w:pPr>
          </w:p>
        </w:tc>
      </w:tr>
      <w:tr>
        <w:trPr>
          <w:trHeight w:val="136"/>
        </w:trPr>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05445E"/>
                <w:w w:val="96"/>
              </w:rPr>
              <w:t>On Performance Level</w:t>
            </w:r>
          </w:p>
        </w:tc>
        <w:tc>
          <w:tcPr>
            <w:tcW w:w="1400" w:type="dxa"/>
            <w:vAlign w:val="bottom"/>
            <w:tcBorders>
              <w:bottom w:val="single" w:sz="8" w:color="auto"/>
            </w:tcBorders>
          </w:tcPr>
          <w:p>
            <w:pPr>
              <w:spacing w:after="0"/>
              <w:rPr>
                <w:sz w:val="11"/>
                <w:szCs w:val="11"/>
                <w:color w:val="auto"/>
              </w:rPr>
            </w:pPr>
          </w:p>
        </w:tc>
      </w:tr>
      <w:tr>
        <w:trPr>
          <w:trHeight w:val="123"/>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4"/>
              </w:rPr>
              <w:t>Performance</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05445E"/>
                <w:w w:val="95"/>
              </w:rPr>
              <w:t>Threshold</w:t>
            </w:r>
          </w:p>
        </w:tc>
        <w:tc>
          <w:tcPr>
            <w:tcW w:w="80" w:type="dxa"/>
            <w:vAlign w:val="bottom"/>
          </w:tcPr>
          <w:p>
            <w:pPr>
              <w:spacing w:after="0"/>
              <w:rPr>
                <w:sz w:val="10"/>
                <w:szCs w:val="1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1"/>
              </w:rPr>
              <w:t>Target</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05445E"/>
                <w:w w:val="95"/>
              </w:rPr>
              <w:t>Maximum</w:t>
            </w:r>
          </w:p>
        </w:tc>
      </w:tr>
      <w:tr>
        <w:trPr>
          <w:trHeight w:val="13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05445E"/>
              </w:rPr>
              <w:t>Name</w:t>
            </w:r>
          </w:p>
        </w:tc>
        <w:tc>
          <w:tcPr>
            <w:tcW w:w="80" w:type="dxa"/>
            <w:vAlign w:val="bottom"/>
            <w:tcBorders>
              <w:bottom w:val="single" w:sz="8" w:color="D9D9D9"/>
            </w:tcBorders>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6"/>
              </w:rPr>
              <w:t>Period</w:t>
            </w:r>
          </w:p>
        </w:tc>
        <w:tc>
          <w:tcPr>
            <w:tcW w:w="80" w:type="dxa"/>
            <w:vAlign w:val="bottom"/>
            <w:tcBorders>
              <w:bottom w:val="single" w:sz="8" w:color="D9D9D9"/>
            </w:tcBorders>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1"/>
              </w:rPr>
              <w:t>(#)</w:t>
            </w:r>
          </w:p>
        </w:tc>
        <w:tc>
          <w:tcPr>
            <w:tcW w:w="80" w:type="dxa"/>
            <w:vAlign w:val="bottom"/>
            <w:tcBorders>
              <w:bottom w:val="single" w:sz="8" w:color="D9D9D9"/>
            </w:tcBorders>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Borders>
              <w:bottom w:val="single" w:sz="8" w:color="D9D9D9"/>
            </w:tcBorders>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r>
      <w:tr>
        <w:trPr>
          <w:trHeight w:val="147"/>
        </w:trPr>
        <w:tc>
          <w:tcPr>
            <w:tcW w:w="2960" w:type="dxa"/>
            <w:vAlign w:val="bottom"/>
            <w:gridSpan w:val="2"/>
            <w:shd w:val="clear" w:color="auto" w:fill="D9D9D9"/>
          </w:tcPr>
          <w:p>
            <w:pPr>
              <w:ind w:left="20"/>
              <w:spacing w:after="0"/>
              <w:rPr>
                <w:sz w:val="20"/>
                <w:szCs w:val="20"/>
                <w:color w:val="auto"/>
              </w:rPr>
            </w:pPr>
            <w:r>
              <w:rPr>
                <w:rFonts w:ascii="Arial" w:cs="Arial" w:eastAsia="Arial" w:hAnsi="Arial"/>
                <w:sz w:val="10"/>
                <w:szCs w:val="10"/>
                <w:color w:val="auto"/>
              </w:rPr>
              <w:t>Donald A. Nolan</w:t>
            </w:r>
          </w:p>
        </w:tc>
        <w:tc>
          <w:tcPr>
            <w:tcW w:w="1800" w:type="dxa"/>
            <w:vAlign w:val="bottom"/>
            <w:gridSpan w:val="2"/>
            <w:shd w:val="clear" w:color="auto" w:fill="D9D9D9"/>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N/A</w:t>
            </w:r>
          </w:p>
        </w:tc>
        <w:tc>
          <w:tcPr>
            <w:tcW w:w="80" w:type="dxa"/>
            <w:vAlign w:val="bottom"/>
            <w:shd w:val="clear" w:color="auto" w:fill="D9D9D9"/>
          </w:tcPr>
          <w:p>
            <w:pPr>
              <w:spacing w:after="0"/>
              <w:rPr>
                <w:sz w:val="12"/>
                <w:szCs w:val="12"/>
                <w:color w:val="auto"/>
              </w:rPr>
            </w:pPr>
          </w:p>
        </w:tc>
        <w:tc>
          <w:tcPr>
            <w:tcW w:w="1480" w:type="dxa"/>
            <w:vAlign w:val="bottom"/>
            <w:gridSpan w:val="2"/>
            <w:shd w:val="clear" w:color="auto" w:fill="D9D9D9"/>
          </w:tcPr>
          <w:p>
            <w:pPr>
              <w:jc w:val="center"/>
              <w:ind w:right="80"/>
              <w:spacing w:after="0"/>
              <w:rPr>
                <w:sz w:val="20"/>
                <w:szCs w:val="20"/>
                <w:color w:val="auto"/>
              </w:rPr>
            </w:pPr>
            <w:r>
              <w:rPr>
                <w:rFonts w:ascii="Arial" w:cs="Arial" w:eastAsia="Arial" w:hAnsi="Arial"/>
                <w:sz w:val="10"/>
                <w:szCs w:val="10"/>
                <w:color w:val="auto"/>
                <w:w w:val="95"/>
              </w:rPr>
              <w:t>N/A</w:t>
            </w:r>
          </w:p>
        </w:tc>
        <w:tc>
          <w:tcPr>
            <w:tcW w:w="140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N/A</w:t>
            </w:r>
          </w:p>
        </w:tc>
      </w:tr>
      <w:tr>
        <w:trPr>
          <w:trHeight w:val="14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Mark R. Augdahl</w:t>
            </w: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color w:val="auto"/>
                <w:w w:val="94"/>
              </w:rPr>
              <w:t>Fiscal 2025 - 2027</w:t>
            </w:r>
          </w:p>
        </w:tc>
        <w:tc>
          <w:tcPr>
            <w:tcW w:w="1380" w:type="dxa"/>
            <w:vAlign w:val="bottom"/>
          </w:tcPr>
          <w:p>
            <w:pPr>
              <w:jc w:val="right"/>
              <w:ind w:right="252"/>
              <w:spacing w:after="0"/>
              <w:rPr>
                <w:sz w:val="20"/>
                <w:szCs w:val="20"/>
                <w:color w:val="auto"/>
              </w:rPr>
            </w:pPr>
            <w:r>
              <w:rPr>
                <w:rFonts w:ascii="Arial" w:cs="Arial" w:eastAsia="Arial" w:hAnsi="Arial"/>
                <w:sz w:val="10"/>
                <w:szCs w:val="10"/>
                <w:color w:val="auto"/>
              </w:rPr>
              <w:t>688</w:t>
            </w:r>
          </w:p>
        </w:tc>
        <w:tc>
          <w:tcPr>
            <w:tcW w:w="1480" w:type="dxa"/>
            <w:vAlign w:val="bottom"/>
            <w:gridSpan w:val="2"/>
          </w:tcPr>
          <w:p>
            <w:pPr>
              <w:jc w:val="right"/>
              <w:ind w:right="172"/>
              <w:spacing w:after="0"/>
              <w:rPr>
                <w:sz w:val="20"/>
                <w:szCs w:val="20"/>
                <w:color w:val="auto"/>
              </w:rPr>
            </w:pPr>
            <w:r>
              <w:rPr>
                <w:rFonts w:ascii="Arial" w:cs="Arial" w:eastAsia="Arial" w:hAnsi="Arial"/>
                <w:sz w:val="10"/>
                <w:szCs w:val="10"/>
                <w:color w:val="auto"/>
              </w:rPr>
              <w:t>1,375</w:t>
            </w:r>
          </w:p>
        </w:tc>
        <w:tc>
          <w:tcPr>
            <w:tcW w:w="80" w:type="dxa"/>
            <w:vAlign w:val="bottom"/>
          </w:tcPr>
          <w:p>
            <w:pPr>
              <w:spacing w:after="0"/>
              <w:rPr>
                <w:sz w:val="12"/>
                <w:szCs w:val="12"/>
                <w:color w:val="auto"/>
              </w:rPr>
            </w:pPr>
          </w:p>
        </w:tc>
        <w:tc>
          <w:tcPr>
            <w:tcW w:w="1400" w:type="dxa"/>
            <w:vAlign w:val="bottom"/>
          </w:tcPr>
          <w:p>
            <w:pPr>
              <w:jc w:val="right"/>
              <w:ind w:right="172"/>
              <w:spacing w:after="0"/>
              <w:rPr>
                <w:sz w:val="20"/>
                <w:szCs w:val="20"/>
                <w:color w:val="auto"/>
              </w:rPr>
            </w:pPr>
            <w:r>
              <w:rPr>
                <w:rFonts w:ascii="Arial" w:cs="Arial" w:eastAsia="Arial" w:hAnsi="Arial"/>
                <w:sz w:val="10"/>
                <w:szCs w:val="10"/>
                <w:color w:val="auto"/>
              </w:rPr>
              <w:t>2,750</w:t>
            </w:r>
          </w:p>
        </w:tc>
      </w:tr>
      <w:tr>
        <w:trPr>
          <w:trHeight w:val="160"/>
        </w:trPr>
        <w:tc>
          <w:tcPr>
            <w:tcW w:w="2960" w:type="dxa"/>
            <w:vAlign w:val="bottom"/>
            <w:gridSpan w:val="2"/>
            <w:shd w:val="clear" w:color="auto" w:fill="D9D9D9"/>
          </w:tcPr>
          <w:p>
            <w:pPr>
              <w:ind w:left="20"/>
              <w:spacing w:after="0"/>
              <w:rPr>
                <w:sz w:val="20"/>
                <w:szCs w:val="20"/>
                <w:color w:val="auto"/>
              </w:rPr>
            </w:pPr>
            <w:r>
              <w:rPr>
                <w:rFonts w:ascii="Arial" w:cs="Arial" w:eastAsia="Arial" w:hAnsi="Arial"/>
                <w:sz w:val="10"/>
                <w:szCs w:val="10"/>
                <w:color w:val="auto"/>
              </w:rPr>
              <w:t>Troy R. Johnson</w:t>
            </w:r>
          </w:p>
        </w:tc>
        <w:tc>
          <w:tcPr>
            <w:tcW w:w="1800" w:type="dxa"/>
            <w:vAlign w:val="bottom"/>
            <w:gridSpan w:val="2"/>
            <w:shd w:val="clear" w:color="auto" w:fill="D9D9D9"/>
          </w:tcPr>
          <w:p>
            <w:pPr>
              <w:jc w:val="center"/>
              <w:ind w:right="100"/>
              <w:spacing w:after="0"/>
              <w:rPr>
                <w:sz w:val="20"/>
                <w:szCs w:val="20"/>
                <w:color w:val="auto"/>
              </w:rPr>
            </w:pPr>
            <w:r>
              <w:rPr>
                <w:rFonts w:ascii="Arial" w:cs="Arial" w:eastAsia="Arial" w:hAnsi="Arial"/>
                <w:sz w:val="10"/>
                <w:szCs w:val="10"/>
                <w:color w:val="auto"/>
                <w:w w:val="94"/>
              </w:rPr>
              <w:t>Fiscal 2025 - 2027</w:t>
            </w:r>
          </w:p>
        </w:tc>
        <w:tc>
          <w:tcPr>
            <w:tcW w:w="13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1,027</w:t>
            </w:r>
          </w:p>
        </w:tc>
        <w:tc>
          <w:tcPr>
            <w:tcW w:w="1480" w:type="dxa"/>
            <w:vAlign w:val="bottom"/>
            <w:gridSpan w:val="2"/>
            <w:shd w:val="clear" w:color="auto" w:fill="D9D9D9"/>
          </w:tcPr>
          <w:p>
            <w:pPr>
              <w:jc w:val="right"/>
              <w:ind w:right="172"/>
              <w:spacing w:after="0"/>
              <w:rPr>
                <w:sz w:val="20"/>
                <w:szCs w:val="20"/>
                <w:color w:val="auto"/>
              </w:rPr>
            </w:pPr>
            <w:r>
              <w:rPr>
                <w:rFonts w:ascii="Arial" w:cs="Arial" w:eastAsia="Arial" w:hAnsi="Arial"/>
                <w:sz w:val="10"/>
                <w:szCs w:val="10"/>
                <w:color w:val="auto"/>
              </w:rPr>
              <w:t>2,053</w:t>
            </w:r>
          </w:p>
        </w:tc>
        <w:tc>
          <w:tcPr>
            <w:tcW w:w="80" w:type="dxa"/>
            <w:vAlign w:val="bottom"/>
            <w:shd w:val="clear" w:color="auto" w:fill="D9D9D9"/>
          </w:tcPr>
          <w:p>
            <w:pPr>
              <w:spacing w:after="0"/>
              <w:rPr>
                <w:sz w:val="13"/>
                <w:szCs w:val="13"/>
                <w:color w:val="auto"/>
              </w:rPr>
            </w:pPr>
          </w:p>
        </w:tc>
        <w:tc>
          <w:tcPr>
            <w:tcW w:w="1400" w:type="dxa"/>
            <w:vAlign w:val="bottom"/>
            <w:shd w:val="clear" w:color="auto" w:fill="D9D9D9"/>
          </w:tcPr>
          <w:p>
            <w:pPr>
              <w:jc w:val="right"/>
              <w:ind w:right="172"/>
              <w:spacing w:after="0"/>
              <w:rPr>
                <w:sz w:val="20"/>
                <w:szCs w:val="20"/>
                <w:color w:val="auto"/>
              </w:rPr>
            </w:pPr>
            <w:r>
              <w:rPr>
                <w:rFonts w:ascii="Arial" w:cs="Arial" w:eastAsia="Arial" w:hAnsi="Arial"/>
                <w:sz w:val="10"/>
                <w:szCs w:val="10"/>
                <w:color w:val="auto"/>
              </w:rPr>
              <w:t>4,106</w:t>
            </w:r>
          </w:p>
        </w:tc>
      </w:tr>
      <w:tr>
        <w:trPr>
          <w:trHeight w:val="14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Veena M. Lakkundi</w:t>
            </w:r>
          </w:p>
        </w:tc>
        <w:tc>
          <w:tcPr>
            <w:tcW w:w="180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80" w:type="dxa"/>
            <w:vAlign w:val="bottom"/>
          </w:tcPr>
          <w:p>
            <w:pPr>
              <w:spacing w:after="0"/>
              <w:rPr>
                <w:sz w:val="12"/>
                <w:szCs w:val="12"/>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N/A</w:t>
            </w:r>
          </w:p>
        </w:tc>
        <w:tc>
          <w:tcPr>
            <w:tcW w:w="1400" w:type="dxa"/>
            <w:vAlign w:val="bottom"/>
          </w:tcPr>
          <w:p>
            <w:pPr>
              <w:jc w:val="center"/>
              <w:spacing w:after="0"/>
              <w:rPr>
                <w:sz w:val="20"/>
                <w:szCs w:val="20"/>
                <w:color w:val="auto"/>
              </w:rPr>
            </w:pPr>
            <w:r>
              <w:rPr>
                <w:rFonts w:ascii="Arial" w:cs="Arial" w:eastAsia="Arial" w:hAnsi="Arial"/>
                <w:sz w:val="10"/>
                <w:szCs w:val="10"/>
                <w:color w:val="auto"/>
                <w:w w:val="95"/>
              </w:rPr>
              <w:t>N/A</w:t>
            </w:r>
          </w:p>
        </w:tc>
      </w:tr>
      <w:tr>
        <w:trPr>
          <w:trHeight w:val="161"/>
        </w:trPr>
        <w:tc>
          <w:tcPr>
            <w:tcW w:w="2960" w:type="dxa"/>
            <w:vAlign w:val="bottom"/>
            <w:gridSpan w:val="2"/>
            <w:shd w:val="clear" w:color="auto" w:fill="D9D9D9"/>
          </w:tcPr>
          <w:p>
            <w:pPr>
              <w:ind w:left="20"/>
              <w:spacing w:after="0"/>
              <w:rPr>
                <w:sz w:val="20"/>
                <w:szCs w:val="20"/>
                <w:color w:val="auto"/>
              </w:rPr>
            </w:pPr>
            <w:r>
              <w:rPr>
                <w:rFonts w:ascii="Arial" w:cs="Arial" w:eastAsia="Arial" w:hAnsi="Arial"/>
                <w:sz w:val="10"/>
                <w:szCs w:val="10"/>
                <w:color w:val="auto"/>
              </w:rPr>
              <w:t>Brent C. Jewell</w:t>
            </w:r>
          </w:p>
        </w:tc>
        <w:tc>
          <w:tcPr>
            <w:tcW w:w="1800" w:type="dxa"/>
            <w:vAlign w:val="bottom"/>
            <w:gridSpan w:val="2"/>
            <w:shd w:val="clear" w:color="auto" w:fill="D9D9D9"/>
          </w:tcPr>
          <w:p>
            <w:pPr>
              <w:jc w:val="center"/>
              <w:ind w:right="100"/>
              <w:spacing w:after="0"/>
              <w:rPr>
                <w:sz w:val="20"/>
                <w:szCs w:val="20"/>
                <w:color w:val="auto"/>
              </w:rPr>
            </w:pPr>
            <w:r>
              <w:rPr>
                <w:rFonts w:ascii="Arial" w:cs="Arial" w:eastAsia="Arial" w:hAnsi="Arial"/>
                <w:sz w:val="10"/>
                <w:szCs w:val="10"/>
                <w:color w:val="auto"/>
                <w:w w:val="94"/>
              </w:rPr>
              <w:t>Fiscal 2025 - 2027</w:t>
            </w:r>
          </w:p>
        </w:tc>
        <w:tc>
          <w:tcPr>
            <w:tcW w:w="13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1,092</w:t>
            </w:r>
          </w:p>
        </w:tc>
        <w:tc>
          <w:tcPr>
            <w:tcW w:w="1480" w:type="dxa"/>
            <w:vAlign w:val="bottom"/>
            <w:gridSpan w:val="2"/>
            <w:shd w:val="clear" w:color="auto" w:fill="D9D9D9"/>
          </w:tcPr>
          <w:p>
            <w:pPr>
              <w:jc w:val="right"/>
              <w:ind w:right="172"/>
              <w:spacing w:after="0"/>
              <w:rPr>
                <w:sz w:val="20"/>
                <w:szCs w:val="20"/>
                <w:color w:val="auto"/>
              </w:rPr>
            </w:pPr>
            <w:r>
              <w:rPr>
                <w:rFonts w:ascii="Arial" w:cs="Arial" w:eastAsia="Arial" w:hAnsi="Arial"/>
                <w:sz w:val="10"/>
                <w:szCs w:val="10"/>
                <w:color w:val="auto"/>
              </w:rPr>
              <w:t>2,183</w:t>
            </w:r>
          </w:p>
        </w:tc>
        <w:tc>
          <w:tcPr>
            <w:tcW w:w="80" w:type="dxa"/>
            <w:vAlign w:val="bottom"/>
            <w:shd w:val="clear" w:color="auto" w:fill="D9D9D9"/>
          </w:tcPr>
          <w:p>
            <w:pPr>
              <w:spacing w:after="0"/>
              <w:rPr>
                <w:sz w:val="13"/>
                <w:szCs w:val="13"/>
                <w:color w:val="auto"/>
              </w:rPr>
            </w:pPr>
          </w:p>
        </w:tc>
        <w:tc>
          <w:tcPr>
            <w:tcW w:w="1400" w:type="dxa"/>
            <w:vAlign w:val="bottom"/>
            <w:shd w:val="clear" w:color="auto" w:fill="D9D9D9"/>
          </w:tcPr>
          <w:p>
            <w:pPr>
              <w:jc w:val="right"/>
              <w:ind w:right="172"/>
              <w:spacing w:after="0"/>
              <w:rPr>
                <w:sz w:val="20"/>
                <w:szCs w:val="20"/>
                <w:color w:val="auto"/>
              </w:rPr>
            </w:pPr>
            <w:r>
              <w:rPr>
                <w:rFonts w:ascii="Arial" w:cs="Arial" w:eastAsia="Arial" w:hAnsi="Arial"/>
                <w:sz w:val="10"/>
                <w:szCs w:val="10"/>
                <w:color w:val="auto"/>
              </w:rPr>
              <w:t>4,366</w:t>
            </w:r>
          </w:p>
        </w:tc>
      </w:tr>
    </w:tbl>
    <w:p>
      <w:pPr>
        <w:spacing w:after="0" w:line="122" w:lineRule="exact"/>
        <w:rPr>
          <w:sz w:val="20"/>
          <w:szCs w:val="20"/>
          <w:color w:val="auto"/>
        </w:rPr>
      </w:pPr>
    </w:p>
    <w:p>
      <w:pPr>
        <w:jc w:val="both"/>
        <w:ind w:left="328" w:right="20" w:hanging="328"/>
        <w:spacing w:after="0" w:line="268" w:lineRule="auto"/>
        <w:tabs>
          <w:tab w:leader="none" w:pos="322"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Represents the performance share units granted on April 22, 2025 for Messrs. Augdahl, T. Johnson and Jewell and Ms. Lakkundi for the three-year performance period beginning on the first day of fiscal 2026 and ending on the last day of fiscal 2028, which will only be earned if the predetermined goal for the performance period is met. The number of shares is equal to the target number of performance share units.</w:t>
      </w:r>
    </w:p>
    <w:p>
      <w:pPr>
        <w:spacing w:after="0" w:line="41" w:lineRule="exact"/>
        <w:rPr>
          <w:rFonts w:ascii="Arial" w:cs="Arial" w:eastAsia="Arial" w:hAnsi="Arial"/>
          <w:sz w:val="12"/>
          <w:szCs w:val="12"/>
          <w:color w:val="auto"/>
        </w:rPr>
      </w:pPr>
    </w:p>
    <w:p>
      <w:pPr>
        <w:ind w:left="328"/>
        <w:spacing w:after="0" w:line="286" w:lineRule="auto"/>
        <w:rPr>
          <w:rFonts w:ascii="Arial" w:cs="Arial" w:eastAsia="Arial" w:hAnsi="Arial"/>
          <w:sz w:val="12"/>
          <w:szCs w:val="12"/>
          <w:color w:val="auto"/>
        </w:rPr>
      </w:pPr>
      <w:r>
        <w:rPr>
          <w:rFonts w:ascii="Arial" w:cs="Arial" w:eastAsia="Arial" w:hAnsi="Arial"/>
          <w:sz w:val="12"/>
          <w:szCs w:val="12"/>
          <w:color w:val="auto"/>
        </w:rPr>
        <w:t>For each of our Named Executive Officers, the number of shares of our common stock that may be earned as a payout based on threshold, target and maximum performance levels during the three-year performance period is set forth below.</w:t>
      </w:r>
    </w:p>
    <w:p>
      <w:pPr>
        <w:spacing w:after="0" w:line="66" w:lineRule="exact"/>
        <w:rPr>
          <w:sz w:val="20"/>
          <w:szCs w:val="20"/>
          <w:color w:val="auto"/>
        </w:rPr>
      </w:pPr>
    </w:p>
    <w:tbl>
      <w:tblPr>
        <w:tblLayout w:type="fixed"/>
        <w:tblInd w:w="648"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60" w:type="dxa"/>
            <w:vAlign w:val="bottom"/>
            <w:gridSpan w:val="3"/>
          </w:tcPr>
          <w:p>
            <w:pPr>
              <w:jc w:val="center"/>
              <w:spacing w:after="0"/>
              <w:rPr>
                <w:sz w:val="20"/>
                <w:szCs w:val="20"/>
                <w:color w:val="auto"/>
              </w:rPr>
            </w:pPr>
            <w:r>
              <w:rPr>
                <w:rFonts w:ascii="Arial" w:cs="Arial" w:eastAsia="Arial" w:hAnsi="Arial"/>
                <w:sz w:val="10"/>
                <w:szCs w:val="10"/>
                <w:b w:val="1"/>
                <w:bCs w:val="1"/>
                <w:color w:val="05445E"/>
                <w:w w:val="96"/>
              </w:rPr>
              <w:t>Estimated Future Payouts Based</w:t>
            </w:r>
          </w:p>
        </w:tc>
        <w:tc>
          <w:tcPr>
            <w:tcW w:w="1400" w:type="dxa"/>
            <w:vAlign w:val="bottom"/>
          </w:tcPr>
          <w:p>
            <w:pPr>
              <w:spacing w:after="0"/>
              <w:rPr>
                <w:sz w:val="10"/>
                <w:szCs w:val="10"/>
                <w:color w:val="auto"/>
              </w:rPr>
            </w:pPr>
          </w:p>
        </w:tc>
      </w:tr>
      <w:tr>
        <w:trPr>
          <w:trHeight w:val="140"/>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05445E"/>
                <w:w w:val="96"/>
              </w:rPr>
              <w:t>On Performance Level</w:t>
            </w:r>
          </w:p>
        </w:tc>
        <w:tc>
          <w:tcPr>
            <w:tcW w:w="1400" w:type="dxa"/>
            <w:vAlign w:val="bottom"/>
            <w:tcBorders>
              <w:bottom w:val="single" w:sz="8" w:color="auto"/>
            </w:tcBorders>
          </w:tcPr>
          <w:p>
            <w:pPr>
              <w:spacing w:after="0"/>
              <w:rPr>
                <w:sz w:val="12"/>
                <w:szCs w:val="12"/>
                <w:color w:val="auto"/>
              </w:rPr>
            </w:pPr>
          </w:p>
        </w:tc>
      </w:tr>
      <w:tr>
        <w:trPr>
          <w:trHeight w:val="119"/>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05445E"/>
                <w:w w:val="94"/>
              </w:rPr>
              <w:t>Performance</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05445E"/>
                <w:w w:val="95"/>
              </w:rPr>
              <w:t>Threshold</w:t>
            </w:r>
          </w:p>
        </w:tc>
        <w:tc>
          <w:tcPr>
            <w:tcW w:w="80" w:type="dxa"/>
            <w:vAlign w:val="bottom"/>
          </w:tcPr>
          <w:p>
            <w:pPr>
              <w:spacing w:after="0"/>
              <w:rPr>
                <w:sz w:val="10"/>
                <w:szCs w:val="1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1"/>
              </w:rPr>
              <w:t>Target</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05445E"/>
                <w:w w:val="95"/>
              </w:rPr>
              <w:t>Maximum</w:t>
            </w:r>
          </w:p>
        </w:tc>
      </w:tr>
      <w:tr>
        <w:trPr>
          <w:trHeight w:val="145"/>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05445E"/>
              </w:rPr>
              <w:t>Name</w:t>
            </w:r>
          </w:p>
        </w:tc>
        <w:tc>
          <w:tcPr>
            <w:tcW w:w="80" w:type="dxa"/>
            <w:vAlign w:val="bottom"/>
            <w:tcBorders>
              <w:bottom w:val="single" w:sz="8" w:color="D9D9D9"/>
            </w:tcBorders>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6"/>
              </w:rPr>
              <w:t>Period</w:t>
            </w:r>
          </w:p>
        </w:tc>
        <w:tc>
          <w:tcPr>
            <w:tcW w:w="80" w:type="dxa"/>
            <w:vAlign w:val="bottom"/>
            <w:tcBorders>
              <w:bottom w:val="single" w:sz="8" w:color="D9D9D9"/>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81"/>
              </w:rPr>
              <w:t>(#)</w:t>
            </w:r>
          </w:p>
        </w:tc>
        <w:tc>
          <w:tcPr>
            <w:tcW w:w="80" w:type="dxa"/>
            <w:vAlign w:val="bottom"/>
            <w:tcBorders>
              <w:bottom w:val="single" w:sz="8" w:color="D9D9D9"/>
            </w:tcBorders>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c>
          <w:tcPr>
            <w:tcW w:w="80" w:type="dxa"/>
            <w:vAlign w:val="bottom"/>
            <w:tcBorders>
              <w:bottom w:val="single" w:sz="8" w:color="D9D9D9"/>
            </w:tcBorders>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05445E"/>
                <w:w w:val="97"/>
              </w:rPr>
              <w:t>(#)</w:t>
            </w:r>
          </w:p>
        </w:tc>
      </w:tr>
      <w:tr>
        <w:trPr>
          <w:trHeight w:val="147"/>
        </w:trPr>
        <w:tc>
          <w:tcPr>
            <w:tcW w:w="2960" w:type="dxa"/>
            <w:vAlign w:val="bottom"/>
            <w:gridSpan w:val="2"/>
            <w:shd w:val="clear" w:color="auto" w:fill="D9D9D9"/>
          </w:tcPr>
          <w:p>
            <w:pPr>
              <w:ind w:left="20"/>
              <w:spacing w:after="0"/>
              <w:rPr>
                <w:sz w:val="20"/>
                <w:szCs w:val="20"/>
                <w:color w:val="auto"/>
              </w:rPr>
            </w:pPr>
            <w:r>
              <w:rPr>
                <w:rFonts w:ascii="Arial" w:cs="Arial" w:eastAsia="Arial" w:hAnsi="Arial"/>
                <w:sz w:val="10"/>
                <w:szCs w:val="10"/>
                <w:color w:val="auto"/>
              </w:rPr>
              <w:t>Donald A. Nolan</w:t>
            </w:r>
          </w:p>
        </w:tc>
        <w:tc>
          <w:tcPr>
            <w:tcW w:w="1800" w:type="dxa"/>
            <w:vAlign w:val="bottom"/>
            <w:gridSpan w:val="2"/>
            <w:shd w:val="clear" w:color="auto" w:fill="D9D9D9"/>
          </w:tcPr>
          <w:p>
            <w:pPr>
              <w:jc w:val="center"/>
              <w:ind w:right="80"/>
              <w:spacing w:after="0"/>
              <w:rPr>
                <w:sz w:val="20"/>
                <w:szCs w:val="20"/>
                <w:color w:val="auto"/>
              </w:rPr>
            </w:pPr>
            <w:r>
              <w:rPr>
                <w:rFonts w:ascii="Arial" w:cs="Arial" w:eastAsia="Arial" w:hAnsi="Arial"/>
                <w:sz w:val="10"/>
                <w:szCs w:val="10"/>
                <w:color w:val="auto"/>
                <w:w w:val="95"/>
              </w:rPr>
              <w:t>N/A</w:t>
            </w:r>
          </w:p>
        </w:tc>
        <w:tc>
          <w:tcPr>
            <w:tcW w:w="138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N/A</w:t>
            </w:r>
          </w:p>
        </w:tc>
        <w:tc>
          <w:tcPr>
            <w:tcW w:w="80" w:type="dxa"/>
            <w:vAlign w:val="bottom"/>
            <w:shd w:val="clear" w:color="auto" w:fill="D9D9D9"/>
          </w:tcPr>
          <w:p>
            <w:pPr>
              <w:spacing w:after="0"/>
              <w:rPr>
                <w:sz w:val="12"/>
                <w:szCs w:val="12"/>
                <w:color w:val="auto"/>
              </w:rPr>
            </w:pPr>
          </w:p>
        </w:tc>
        <w:tc>
          <w:tcPr>
            <w:tcW w:w="1480" w:type="dxa"/>
            <w:vAlign w:val="bottom"/>
            <w:gridSpan w:val="2"/>
            <w:shd w:val="clear" w:color="auto" w:fill="D9D9D9"/>
          </w:tcPr>
          <w:p>
            <w:pPr>
              <w:jc w:val="center"/>
              <w:ind w:right="80"/>
              <w:spacing w:after="0"/>
              <w:rPr>
                <w:sz w:val="20"/>
                <w:szCs w:val="20"/>
                <w:color w:val="auto"/>
              </w:rPr>
            </w:pPr>
            <w:r>
              <w:rPr>
                <w:rFonts w:ascii="Arial" w:cs="Arial" w:eastAsia="Arial" w:hAnsi="Arial"/>
                <w:sz w:val="10"/>
                <w:szCs w:val="10"/>
                <w:color w:val="auto"/>
                <w:w w:val="95"/>
              </w:rPr>
              <w:t>N/A</w:t>
            </w:r>
          </w:p>
        </w:tc>
        <w:tc>
          <w:tcPr>
            <w:tcW w:w="1400" w:type="dxa"/>
            <w:vAlign w:val="bottom"/>
            <w:shd w:val="clear" w:color="auto" w:fill="D9D9D9"/>
          </w:tcPr>
          <w:p>
            <w:pPr>
              <w:jc w:val="center"/>
              <w:spacing w:after="0"/>
              <w:rPr>
                <w:sz w:val="20"/>
                <w:szCs w:val="20"/>
                <w:color w:val="auto"/>
              </w:rPr>
            </w:pPr>
            <w:r>
              <w:rPr>
                <w:rFonts w:ascii="Arial" w:cs="Arial" w:eastAsia="Arial" w:hAnsi="Arial"/>
                <w:sz w:val="10"/>
                <w:szCs w:val="10"/>
                <w:color w:val="auto"/>
                <w:w w:val="95"/>
              </w:rPr>
              <w:t>N/A</w:t>
            </w:r>
          </w:p>
        </w:tc>
      </w:tr>
      <w:tr>
        <w:trPr>
          <w:trHeight w:val="14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Mark R. Augdahl</w:t>
            </w: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color w:val="auto"/>
                <w:w w:val="94"/>
              </w:rPr>
              <w:t>Fiscal 2026 - 2028</w:t>
            </w:r>
          </w:p>
        </w:tc>
        <w:tc>
          <w:tcPr>
            <w:tcW w:w="1380" w:type="dxa"/>
            <w:vAlign w:val="bottom"/>
          </w:tcPr>
          <w:p>
            <w:pPr>
              <w:jc w:val="right"/>
              <w:ind w:right="252"/>
              <w:spacing w:after="0"/>
              <w:rPr>
                <w:sz w:val="20"/>
                <w:szCs w:val="20"/>
                <w:color w:val="auto"/>
              </w:rPr>
            </w:pPr>
            <w:r>
              <w:rPr>
                <w:rFonts w:ascii="Arial" w:cs="Arial" w:eastAsia="Arial" w:hAnsi="Arial"/>
                <w:sz w:val="10"/>
                <w:szCs w:val="10"/>
                <w:color w:val="auto"/>
              </w:rPr>
              <w:t>968</w:t>
            </w:r>
          </w:p>
        </w:tc>
        <w:tc>
          <w:tcPr>
            <w:tcW w:w="1480" w:type="dxa"/>
            <w:vAlign w:val="bottom"/>
            <w:gridSpan w:val="2"/>
          </w:tcPr>
          <w:p>
            <w:pPr>
              <w:jc w:val="right"/>
              <w:ind w:right="172"/>
              <w:spacing w:after="0"/>
              <w:rPr>
                <w:sz w:val="20"/>
                <w:szCs w:val="20"/>
                <w:color w:val="auto"/>
              </w:rPr>
            </w:pPr>
            <w:r>
              <w:rPr>
                <w:rFonts w:ascii="Arial" w:cs="Arial" w:eastAsia="Arial" w:hAnsi="Arial"/>
                <w:sz w:val="10"/>
                <w:szCs w:val="10"/>
                <w:color w:val="auto"/>
              </w:rPr>
              <w:t>1,935</w:t>
            </w:r>
          </w:p>
        </w:tc>
        <w:tc>
          <w:tcPr>
            <w:tcW w:w="80" w:type="dxa"/>
            <w:vAlign w:val="bottom"/>
          </w:tcPr>
          <w:p>
            <w:pPr>
              <w:spacing w:after="0"/>
              <w:rPr>
                <w:sz w:val="12"/>
                <w:szCs w:val="12"/>
                <w:color w:val="auto"/>
              </w:rPr>
            </w:pPr>
          </w:p>
        </w:tc>
        <w:tc>
          <w:tcPr>
            <w:tcW w:w="1400" w:type="dxa"/>
            <w:vAlign w:val="bottom"/>
          </w:tcPr>
          <w:p>
            <w:pPr>
              <w:jc w:val="right"/>
              <w:ind w:right="172"/>
              <w:spacing w:after="0"/>
              <w:rPr>
                <w:sz w:val="20"/>
                <w:szCs w:val="20"/>
                <w:color w:val="auto"/>
              </w:rPr>
            </w:pPr>
            <w:r>
              <w:rPr>
                <w:rFonts w:ascii="Arial" w:cs="Arial" w:eastAsia="Arial" w:hAnsi="Arial"/>
                <w:sz w:val="10"/>
                <w:szCs w:val="10"/>
                <w:color w:val="auto"/>
              </w:rPr>
              <w:t>3,870</w:t>
            </w:r>
          </w:p>
        </w:tc>
      </w:tr>
      <w:tr>
        <w:trPr>
          <w:trHeight w:val="160"/>
        </w:trPr>
        <w:tc>
          <w:tcPr>
            <w:tcW w:w="2960" w:type="dxa"/>
            <w:vAlign w:val="bottom"/>
            <w:gridSpan w:val="2"/>
            <w:shd w:val="clear" w:color="auto" w:fill="D9D9D9"/>
          </w:tcPr>
          <w:p>
            <w:pPr>
              <w:ind w:left="20"/>
              <w:spacing w:after="0"/>
              <w:rPr>
                <w:sz w:val="20"/>
                <w:szCs w:val="20"/>
                <w:color w:val="auto"/>
              </w:rPr>
            </w:pPr>
            <w:r>
              <w:rPr>
                <w:rFonts w:ascii="Arial" w:cs="Arial" w:eastAsia="Arial" w:hAnsi="Arial"/>
                <w:sz w:val="10"/>
                <w:szCs w:val="10"/>
                <w:color w:val="auto"/>
              </w:rPr>
              <w:t>Troy R. Johnson</w:t>
            </w:r>
          </w:p>
        </w:tc>
        <w:tc>
          <w:tcPr>
            <w:tcW w:w="1800" w:type="dxa"/>
            <w:vAlign w:val="bottom"/>
            <w:gridSpan w:val="2"/>
            <w:shd w:val="clear" w:color="auto" w:fill="D9D9D9"/>
          </w:tcPr>
          <w:p>
            <w:pPr>
              <w:jc w:val="center"/>
              <w:ind w:right="100"/>
              <w:spacing w:after="0"/>
              <w:rPr>
                <w:sz w:val="20"/>
                <w:szCs w:val="20"/>
                <w:color w:val="auto"/>
              </w:rPr>
            </w:pPr>
            <w:r>
              <w:rPr>
                <w:rFonts w:ascii="Arial" w:cs="Arial" w:eastAsia="Arial" w:hAnsi="Arial"/>
                <w:sz w:val="10"/>
                <w:szCs w:val="10"/>
                <w:color w:val="auto"/>
                <w:w w:val="94"/>
              </w:rPr>
              <w:t>Fiscal 2026 - 2028</w:t>
            </w:r>
          </w:p>
        </w:tc>
        <w:tc>
          <w:tcPr>
            <w:tcW w:w="13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1,497</w:t>
            </w:r>
          </w:p>
        </w:tc>
        <w:tc>
          <w:tcPr>
            <w:tcW w:w="1480" w:type="dxa"/>
            <w:vAlign w:val="bottom"/>
            <w:gridSpan w:val="2"/>
            <w:shd w:val="clear" w:color="auto" w:fill="D9D9D9"/>
          </w:tcPr>
          <w:p>
            <w:pPr>
              <w:jc w:val="right"/>
              <w:ind w:right="172"/>
              <w:spacing w:after="0"/>
              <w:rPr>
                <w:sz w:val="20"/>
                <w:szCs w:val="20"/>
                <w:color w:val="auto"/>
              </w:rPr>
            </w:pPr>
            <w:r>
              <w:rPr>
                <w:rFonts w:ascii="Arial" w:cs="Arial" w:eastAsia="Arial" w:hAnsi="Arial"/>
                <w:sz w:val="10"/>
                <w:szCs w:val="10"/>
                <w:color w:val="auto"/>
              </w:rPr>
              <w:t>2,993</w:t>
            </w:r>
          </w:p>
        </w:tc>
        <w:tc>
          <w:tcPr>
            <w:tcW w:w="80" w:type="dxa"/>
            <w:vAlign w:val="bottom"/>
            <w:shd w:val="clear" w:color="auto" w:fill="D9D9D9"/>
          </w:tcPr>
          <w:p>
            <w:pPr>
              <w:spacing w:after="0"/>
              <w:rPr>
                <w:sz w:val="13"/>
                <w:szCs w:val="13"/>
                <w:color w:val="auto"/>
              </w:rPr>
            </w:pPr>
          </w:p>
        </w:tc>
        <w:tc>
          <w:tcPr>
            <w:tcW w:w="1400" w:type="dxa"/>
            <w:vAlign w:val="bottom"/>
            <w:shd w:val="clear" w:color="auto" w:fill="D9D9D9"/>
          </w:tcPr>
          <w:p>
            <w:pPr>
              <w:jc w:val="right"/>
              <w:ind w:right="172"/>
              <w:spacing w:after="0"/>
              <w:rPr>
                <w:sz w:val="20"/>
                <w:szCs w:val="20"/>
                <w:color w:val="auto"/>
              </w:rPr>
            </w:pPr>
            <w:r>
              <w:rPr>
                <w:rFonts w:ascii="Arial" w:cs="Arial" w:eastAsia="Arial" w:hAnsi="Arial"/>
                <w:sz w:val="10"/>
                <w:szCs w:val="10"/>
                <w:color w:val="auto"/>
              </w:rPr>
              <w:t>5,986</w:t>
            </w:r>
          </w:p>
        </w:tc>
      </w:tr>
      <w:tr>
        <w:trPr>
          <w:trHeight w:val="14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Veena M. Lakkundi</w:t>
            </w: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color w:val="auto"/>
                <w:w w:val="94"/>
              </w:rPr>
              <w:t>Fiscal 2026 - 2028</w:t>
            </w:r>
          </w:p>
        </w:tc>
        <w:tc>
          <w:tcPr>
            <w:tcW w:w="1380" w:type="dxa"/>
            <w:vAlign w:val="bottom"/>
          </w:tcPr>
          <w:p>
            <w:pPr>
              <w:jc w:val="right"/>
              <w:ind w:right="252"/>
              <w:spacing w:after="0"/>
              <w:rPr>
                <w:sz w:val="20"/>
                <w:szCs w:val="20"/>
                <w:color w:val="auto"/>
              </w:rPr>
            </w:pPr>
            <w:r>
              <w:rPr>
                <w:rFonts w:ascii="Arial" w:cs="Arial" w:eastAsia="Arial" w:hAnsi="Arial"/>
                <w:sz w:val="10"/>
                <w:szCs w:val="10"/>
                <w:color w:val="auto"/>
              </w:rPr>
              <w:t>1,809</w:t>
            </w:r>
          </w:p>
        </w:tc>
        <w:tc>
          <w:tcPr>
            <w:tcW w:w="1480" w:type="dxa"/>
            <w:vAlign w:val="bottom"/>
            <w:gridSpan w:val="2"/>
          </w:tcPr>
          <w:p>
            <w:pPr>
              <w:jc w:val="right"/>
              <w:ind w:right="172"/>
              <w:spacing w:after="0"/>
              <w:rPr>
                <w:sz w:val="20"/>
                <w:szCs w:val="20"/>
                <w:color w:val="auto"/>
              </w:rPr>
            </w:pPr>
            <w:r>
              <w:rPr>
                <w:rFonts w:ascii="Arial" w:cs="Arial" w:eastAsia="Arial" w:hAnsi="Arial"/>
                <w:sz w:val="10"/>
                <w:szCs w:val="10"/>
                <w:color w:val="auto"/>
              </w:rPr>
              <w:t>3,618</w:t>
            </w:r>
          </w:p>
        </w:tc>
        <w:tc>
          <w:tcPr>
            <w:tcW w:w="80" w:type="dxa"/>
            <w:vAlign w:val="bottom"/>
          </w:tcPr>
          <w:p>
            <w:pPr>
              <w:spacing w:after="0"/>
              <w:rPr>
                <w:sz w:val="12"/>
                <w:szCs w:val="12"/>
                <w:color w:val="auto"/>
              </w:rPr>
            </w:pPr>
          </w:p>
        </w:tc>
        <w:tc>
          <w:tcPr>
            <w:tcW w:w="1400" w:type="dxa"/>
            <w:vAlign w:val="bottom"/>
          </w:tcPr>
          <w:p>
            <w:pPr>
              <w:jc w:val="right"/>
              <w:ind w:right="172"/>
              <w:spacing w:after="0"/>
              <w:rPr>
                <w:sz w:val="20"/>
                <w:szCs w:val="20"/>
                <w:color w:val="auto"/>
              </w:rPr>
            </w:pPr>
            <w:r>
              <w:rPr>
                <w:rFonts w:ascii="Arial" w:cs="Arial" w:eastAsia="Arial" w:hAnsi="Arial"/>
                <w:sz w:val="10"/>
                <w:szCs w:val="10"/>
                <w:color w:val="auto"/>
              </w:rPr>
              <w:t>7,236</w:t>
            </w:r>
          </w:p>
        </w:tc>
      </w:tr>
      <w:tr>
        <w:trPr>
          <w:trHeight w:val="160"/>
        </w:trPr>
        <w:tc>
          <w:tcPr>
            <w:tcW w:w="2960" w:type="dxa"/>
            <w:vAlign w:val="bottom"/>
            <w:gridSpan w:val="2"/>
            <w:shd w:val="clear" w:color="auto" w:fill="D9D9D9"/>
          </w:tcPr>
          <w:p>
            <w:pPr>
              <w:ind w:left="20"/>
              <w:spacing w:after="0"/>
              <w:rPr>
                <w:sz w:val="20"/>
                <w:szCs w:val="20"/>
                <w:color w:val="auto"/>
              </w:rPr>
            </w:pPr>
            <w:r>
              <w:rPr>
                <w:rFonts w:ascii="Arial" w:cs="Arial" w:eastAsia="Arial" w:hAnsi="Arial"/>
                <w:sz w:val="10"/>
                <w:szCs w:val="10"/>
                <w:color w:val="auto"/>
              </w:rPr>
              <w:t>Brent C. Jewell</w:t>
            </w:r>
          </w:p>
        </w:tc>
        <w:tc>
          <w:tcPr>
            <w:tcW w:w="1800" w:type="dxa"/>
            <w:vAlign w:val="bottom"/>
            <w:gridSpan w:val="2"/>
            <w:shd w:val="clear" w:color="auto" w:fill="D9D9D9"/>
          </w:tcPr>
          <w:p>
            <w:pPr>
              <w:jc w:val="center"/>
              <w:ind w:right="100"/>
              <w:spacing w:after="0"/>
              <w:rPr>
                <w:sz w:val="20"/>
                <w:szCs w:val="20"/>
                <w:color w:val="auto"/>
              </w:rPr>
            </w:pPr>
            <w:r>
              <w:rPr>
                <w:rFonts w:ascii="Arial" w:cs="Arial" w:eastAsia="Arial" w:hAnsi="Arial"/>
                <w:sz w:val="10"/>
                <w:szCs w:val="10"/>
                <w:color w:val="auto"/>
                <w:w w:val="94"/>
              </w:rPr>
              <w:t>Fiscal 2026 - 2028</w:t>
            </w:r>
          </w:p>
        </w:tc>
        <w:tc>
          <w:tcPr>
            <w:tcW w:w="1380" w:type="dxa"/>
            <w:vAlign w:val="bottom"/>
            <w:shd w:val="clear" w:color="auto" w:fill="D9D9D9"/>
          </w:tcPr>
          <w:p>
            <w:pPr>
              <w:jc w:val="right"/>
              <w:ind w:right="252"/>
              <w:spacing w:after="0"/>
              <w:rPr>
                <w:sz w:val="20"/>
                <w:szCs w:val="20"/>
                <w:color w:val="auto"/>
              </w:rPr>
            </w:pPr>
            <w:r>
              <w:rPr>
                <w:rFonts w:ascii="Arial" w:cs="Arial" w:eastAsia="Arial" w:hAnsi="Arial"/>
                <w:sz w:val="10"/>
                <w:szCs w:val="10"/>
                <w:color w:val="auto"/>
              </w:rPr>
              <w:t>1,523</w:t>
            </w:r>
          </w:p>
        </w:tc>
        <w:tc>
          <w:tcPr>
            <w:tcW w:w="1480" w:type="dxa"/>
            <w:vAlign w:val="bottom"/>
            <w:gridSpan w:val="2"/>
            <w:shd w:val="clear" w:color="auto" w:fill="D9D9D9"/>
          </w:tcPr>
          <w:p>
            <w:pPr>
              <w:jc w:val="right"/>
              <w:ind w:right="172"/>
              <w:spacing w:after="0"/>
              <w:rPr>
                <w:sz w:val="20"/>
                <w:szCs w:val="20"/>
                <w:color w:val="auto"/>
              </w:rPr>
            </w:pPr>
            <w:r>
              <w:rPr>
                <w:rFonts w:ascii="Arial" w:cs="Arial" w:eastAsia="Arial" w:hAnsi="Arial"/>
                <w:sz w:val="10"/>
                <w:szCs w:val="10"/>
                <w:color w:val="auto"/>
              </w:rPr>
              <w:t>3,045</w:t>
            </w:r>
          </w:p>
        </w:tc>
        <w:tc>
          <w:tcPr>
            <w:tcW w:w="80" w:type="dxa"/>
            <w:vAlign w:val="bottom"/>
            <w:shd w:val="clear" w:color="auto" w:fill="D9D9D9"/>
          </w:tcPr>
          <w:p>
            <w:pPr>
              <w:spacing w:after="0"/>
              <w:rPr>
                <w:sz w:val="13"/>
                <w:szCs w:val="13"/>
                <w:color w:val="auto"/>
              </w:rPr>
            </w:pPr>
          </w:p>
        </w:tc>
        <w:tc>
          <w:tcPr>
            <w:tcW w:w="1400" w:type="dxa"/>
            <w:vAlign w:val="bottom"/>
            <w:shd w:val="clear" w:color="auto" w:fill="D9D9D9"/>
          </w:tcPr>
          <w:p>
            <w:pPr>
              <w:jc w:val="right"/>
              <w:ind w:right="172"/>
              <w:spacing w:after="0"/>
              <w:rPr>
                <w:sz w:val="20"/>
                <w:szCs w:val="20"/>
                <w:color w:val="auto"/>
              </w:rPr>
            </w:pPr>
            <w:r>
              <w:rPr>
                <w:rFonts w:ascii="Arial" w:cs="Arial" w:eastAsia="Arial" w:hAnsi="Arial"/>
                <w:sz w:val="10"/>
                <w:szCs w:val="10"/>
                <w:color w:val="auto"/>
              </w:rPr>
              <w:t>1,523</w:t>
            </w:r>
          </w:p>
        </w:tc>
      </w:tr>
    </w:tbl>
    <w:p>
      <w:pPr>
        <w:spacing w:after="0" w:line="113" w:lineRule="exact"/>
        <w:rPr>
          <w:sz w:val="20"/>
          <w:szCs w:val="20"/>
          <w:color w:val="auto"/>
        </w:rPr>
      </w:pPr>
    </w:p>
    <w:p>
      <w:pPr>
        <w:ind w:left="308" w:hanging="308"/>
        <w:spacing w:after="0"/>
        <w:tabs>
          <w:tab w:leader="none" w:pos="3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April 12, 2023, which vests in three annual installments commencing on April 30, 2024.</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April 19, 2023, which vests in three annual installments commencing on April 30, 2024.</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June 21, 2023, which vests in three annual installments commencing on June 21, 2024.</w:t>
      </w:r>
    </w:p>
    <w:p>
      <w:pPr>
        <w:spacing w:after="0" w:line="78" w:lineRule="exact"/>
        <w:rPr>
          <w:rFonts w:ascii="Arial" w:cs="Arial" w:eastAsia="Arial" w:hAnsi="Arial"/>
          <w:sz w:val="12"/>
          <w:szCs w:val="12"/>
          <w:color w:val="auto"/>
        </w:rPr>
      </w:pPr>
    </w:p>
    <w:p>
      <w:pPr>
        <w:ind w:left="328" w:hanging="328"/>
        <w:spacing w:after="0"/>
        <w:tabs>
          <w:tab w:leader="none" w:pos="3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May 1, 2024, which vests in three installments on May 1, 2025; April 30, 2026; and April 30, 2027.</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April 22, 2025, which vests in three annual installments commencing on April 30, 2026.</w:t>
      </w:r>
    </w:p>
    <w:p>
      <w:pPr>
        <w:spacing w:after="0" w:line="78" w:lineRule="exact"/>
        <w:rPr>
          <w:rFonts w:ascii="Arial" w:cs="Arial" w:eastAsia="Arial" w:hAnsi="Arial"/>
          <w:sz w:val="12"/>
          <w:szCs w:val="12"/>
          <w:color w:val="auto"/>
        </w:rPr>
      </w:pPr>
    </w:p>
    <w:p>
      <w:pPr>
        <w:ind w:left="328" w:hanging="328"/>
        <w:spacing w:after="0"/>
        <w:tabs>
          <w:tab w:leader="none" w:pos="3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January 19, 2026, which vests in two annual installments commencing on January 19, 2027.</w:t>
      </w:r>
    </w:p>
    <w:p>
      <w:pPr>
        <w:spacing w:after="0" w:line="78" w:lineRule="exact"/>
        <w:rPr>
          <w:rFonts w:ascii="Arial" w:cs="Arial" w:eastAsia="Arial" w:hAnsi="Arial"/>
          <w:sz w:val="12"/>
          <w:szCs w:val="12"/>
          <w:color w:val="auto"/>
        </w:rPr>
      </w:pPr>
    </w:p>
    <w:p>
      <w:pPr>
        <w:ind w:left="328" w:hanging="328"/>
        <w:spacing w:after="0"/>
        <w:tabs>
          <w:tab w:leader="none" w:pos="3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October 17, 2025, which vests on August 7, 2027.</w:t>
      </w:r>
    </w:p>
    <w:p>
      <w:pPr>
        <w:spacing w:after="0" w:line="78" w:lineRule="exact"/>
        <w:rPr>
          <w:rFonts w:ascii="Arial" w:cs="Arial" w:eastAsia="Arial" w:hAnsi="Arial"/>
          <w:sz w:val="12"/>
          <w:szCs w:val="12"/>
          <w:color w:val="auto"/>
        </w:rPr>
      </w:pPr>
    </w:p>
    <w:p>
      <w:pPr>
        <w:ind w:left="328" w:hanging="328"/>
        <w:spacing w:after="0"/>
        <w:tabs>
          <w:tab w:leader="none" w:pos="3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January 14, 2026, which vests in two annual installments commencing on January 14, 2027.</w:t>
      </w:r>
    </w:p>
    <w:p>
      <w:pPr>
        <w:spacing w:after="0" w:line="78" w:lineRule="exact"/>
        <w:rPr>
          <w:rFonts w:ascii="Arial" w:cs="Arial" w:eastAsia="Arial" w:hAnsi="Arial"/>
          <w:sz w:val="12"/>
          <w:szCs w:val="12"/>
          <w:color w:val="auto"/>
        </w:rPr>
      </w:pPr>
    </w:p>
    <w:p>
      <w:pPr>
        <w:ind w:left="328" w:hanging="328"/>
        <w:spacing w:after="0"/>
        <w:tabs>
          <w:tab w:leader="none" w:pos="3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an unvested restricted stock award granted on January 6, 2025, which vests in three annual installments commencing on January 6, 2026.</w:t>
      </w:r>
    </w:p>
    <w:p>
      <w:pPr>
        <w:spacing w:after="0" w:line="200" w:lineRule="exact"/>
        <w:rPr>
          <w:sz w:val="20"/>
          <w:szCs w:val="20"/>
          <w:color w:val="auto"/>
        </w:rPr>
      </w:pPr>
    </w:p>
    <w:p>
      <w:pPr>
        <w:spacing w:after="0" w:line="2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9" w:right="299" w:bottom="1440" w:gutter="0" w:footer="0" w:header="0"/>
        </w:sectPr>
      </w:pPr>
    </w:p>
    <w:bookmarkStart w:id="63" w:name="page64"/>
    <w:bookmarkEnd w:id="63"/>
    <w:p>
      <w:pPr>
        <w:ind w:left="8"/>
        <w:spacing w:after="0"/>
        <w:rPr>
          <w:sz w:val="20"/>
          <w:szCs w:val="20"/>
          <w:color w:val="auto"/>
        </w:rPr>
      </w:pPr>
      <w:r>
        <w:rPr>
          <w:rFonts w:ascii="Arial" w:cs="Arial" w:eastAsia="Arial" w:hAnsi="Arial"/>
          <w:sz w:val="12"/>
          <w:szCs w:val="12"/>
          <w:b w:val="1"/>
          <w:bCs w:val="1"/>
          <w:color w:val="05445E"/>
        </w:rPr>
        <w:t>Option Exercises and Stock Vested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information on options exercised and restricted stock awards vested during fiscal 2026 for each of our Named Executive Officers.</w:t>
      </w:r>
    </w:p>
    <w:p>
      <w:pPr>
        <w:spacing w:after="0" w:line="33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Fiscal 2026 Option Exercises and Stock Vested</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4140" w:type="dxa"/>
            <w:vAlign w:val="bottom"/>
            <w:tcBorders>
              <w:top w:val="single" w:sz="8" w:color="B6B6B6"/>
            </w:tcBorders>
          </w:tcPr>
          <w:p>
            <w:pPr>
              <w:spacing w:after="0"/>
              <w:rPr>
                <w:sz w:val="15"/>
                <w:szCs w:val="15"/>
                <w:color w:val="auto"/>
              </w:rPr>
            </w:pPr>
          </w:p>
        </w:tc>
        <w:tc>
          <w:tcPr>
            <w:tcW w:w="80" w:type="dxa"/>
            <w:vAlign w:val="bottom"/>
            <w:tcBorders>
              <w:top w:val="single" w:sz="8" w:color="B6B6B6"/>
              <w:bottom w:val="single" w:sz="8" w:color="auto"/>
            </w:tcBorders>
          </w:tcPr>
          <w:p>
            <w:pPr>
              <w:spacing w:after="0"/>
              <w:rPr>
                <w:sz w:val="15"/>
                <w:szCs w:val="15"/>
                <w:color w:val="auto"/>
              </w:rPr>
            </w:pPr>
          </w:p>
        </w:tc>
        <w:tc>
          <w:tcPr>
            <w:tcW w:w="900" w:type="dxa"/>
            <w:vAlign w:val="bottom"/>
            <w:tcBorders>
              <w:top w:val="single" w:sz="8" w:color="B6B6B6"/>
              <w:bottom w:val="single" w:sz="8" w:color="auto"/>
            </w:tcBorders>
          </w:tcPr>
          <w:p>
            <w:pPr>
              <w:spacing w:after="0"/>
              <w:rPr>
                <w:sz w:val="15"/>
                <w:szCs w:val="15"/>
                <w:color w:val="auto"/>
              </w:rPr>
            </w:pPr>
          </w:p>
        </w:tc>
        <w:tc>
          <w:tcPr>
            <w:tcW w:w="1340" w:type="dxa"/>
            <w:vAlign w:val="bottom"/>
            <w:tcBorders>
              <w:top w:val="single" w:sz="8" w:color="B6B6B6"/>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05445E"/>
              </w:rPr>
              <w:t>Option Awards</w:t>
            </w:r>
          </w:p>
        </w:tc>
        <w:tc>
          <w:tcPr>
            <w:tcW w:w="1260" w:type="dxa"/>
            <w:vAlign w:val="bottom"/>
            <w:tcBorders>
              <w:top w:val="single" w:sz="8" w:color="B6B6B6"/>
              <w:bottom w:val="single" w:sz="8" w:color="auto"/>
            </w:tcBorders>
          </w:tcPr>
          <w:p>
            <w:pPr>
              <w:spacing w:after="0"/>
              <w:rPr>
                <w:sz w:val="15"/>
                <w:szCs w:val="15"/>
                <w:color w:val="auto"/>
              </w:rPr>
            </w:pPr>
          </w:p>
        </w:tc>
        <w:tc>
          <w:tcPr>
            <w:tcW w:w="80" w:type="dxa"/>
            <w:vAlign w:val="bottom"/>
            <w:tcBorders>
              <w:top w:val="single" w:sz="8" w:color="B6B6B6"/>
            </w:tcBorders>
          </w:tcPr>
          <w:p>
            <w:pPr>
              <w:spacing w:after="0"/>
              <w:rPr>
                <w:sz w:val="15"/>
                <w:szCs w:val="15"/>
                <w:color w:val="auto"/>
              </w:rPr>
            </w:pPr>
          </w:p>
        </w:tc>
        <w:tc>
          <w:tcPr>
            <w:tcW w:w="2260" w:type="dxa"/>
            <w:vAlign w:val="bottom"/>
            <w:tcBorders>
              <w:top w:val="single" w:sz="8" w:color="B6B6B6"/>
              <w:bottom w:val="single" w:sz="8" w:color="auto"/>
            </w:tcBorders>
            <w:gridSpan w:val="3"/>
          </w:tcPr>
          <w:p>
            <w:pPr>
              <w:ind w:left="1360"/>
              <w:spacing w:after="0"/>
              <w:rPr>
                <w:sz w:val="20"/>
                <w:szCs w:val="20"/>
                <w:color w:val="auto"/>
              </w:rPr>
            </w:pPr>
            <w:r>
              <w:rPr>
                <w:rFonts w:ascii="Arial" w:cs="Arial" w:eastAsia="Arial" w:hAnsi="Arial"/>
                <w:sz w:val="12"/>
                <w:szCs w:val="12"/>
                <w:b w:val="1"/>
                <w:bCs w:val="1"/>
                <w:color w:val="05445E"/>
              </w:rPr>
              <w:t>Stock Awards</w:t>
            </w:r>
          </w:p>
        </w:tc>
        <w:tc>
          <w:tcPr>
            <w:tcW w:w="1240" w:type="dxa"/>
            <w:vAlign w:val="bottom"/>
            <w:tcBorders>
              <w:top w:val="single" w:sz="8" w:color="B6B6B6"/>
              <w:bottom w:val="single" w:sz="8" w:color="auto"/>
            </w:tcBorders>
          </w:tcPr>
          <w:p>
            <w:pPr>
              <w:spacing w:after="0"/>
              <w:rPr>
                <w:sz w:val="15"/>
                <w:szCs w:val="15"/>
                <w:color w:val="auto"/>
              </w:rPr>
            </w:pPr>
          </w:p>
        </w:tc>
      </w:tr>
      <w:tr>
        <w:trPr>
          <w:trHeight w:val="143"/>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05445E"/>
                <w:w w:val="96"/>
              </w:rPr>
              <w:t>Number of</w:t>
            </w:r>
          </w:p>
        </w:tc>
        <w:tc>
          <w:tcPr>
            <w:tcW w:w="1240" w:type="dxa"/>
            <w:vAlign w:val="bottom"/>
          </w:tcPr>
          <w:p>
            <w:pPr>
              <w:jc w:val="center"/>
              <w:ind w:right="420"/>
              <w:spacing w:after="0"/>
              <w:rPr>
                <w:sz w:val="20"/>
                <w:szCs w:val="20"/>
                <w:color w:val="auto"/>
              </w:rPr>
            </w:pPr>
            <w:r>
              <w:rPr>
                <w:rFonts w:ascii="Arial" w:cs="Arial" w:eastAsia="Arial" w:hAnsi="Arial"/>
                <w:sz w:val="12"/>
                <w:szCs w:val="12"/>
                <w:b w:val="1"/>
                <w:bCs w:val="1"/>
                <w:color w:val="05445E"/>
                <w:w w:val="99"/>
              </w:rPr>
              <w:t>Value</w:t>
            </w:r>
          </w:p>
        </w:tc>
      </w:tr>
      <w:tr>
        <w:trPr>
          <w:trHeight w:val="144"/>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05445E"/>
                <w:w w:val="99"/>
              </w:rPr>
              <w:t>Value</w:t>
            </w:r>
          </w:p>
        </w:tc>
        <w:tc>
          <w:tcPr>
            <w:tcW w:w="226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05445E"/>
              </w:rPr>
              <w:t>Shares</w:t>
            </w:r>
          </w:p>
        </w:tc>
        <w:tc>
          <w:tcPr>
            <w:tcW w:w="1240" w:type="dxa"/>
            <w:vAlign w:val="bottom"/>
          </w:tcPr>
          <w:p>
            <w:pPr>
              <w:jc w:val="center"/>
              <w:ind w:right="420"/>
              <w:spacing w:after="0"/>
              <w:rPr>
                <w:sz w:val="20"/>
                <w:szCs w:val="20"/>
                <w:color w:val="auto"/>
              </w:rPr>
            </w:pPr>
            <w:r>
              <w:rPr>
                <w:rFonts w:ascii="Arial" w:cs="Arial" w:eastAsia="Arial" w:hAnsi="Arial"/>
                <w:sz w:val="12"/>
                <w:szCs w:val="12"/>
                <w:b w:val="1"/>
                <w:bCs w:val="1"/>
                <w:color w:val="05445E"/>
                <w:w w:val="98"/>
              </w:rPr>
              <w:t>Realized</w:t>
            </w:r>
          </w:p>
        </w:tc>
      </w:tr>
      <w:tr>
        <w:trPr>
          <w:trHeight w:val="144"/>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2"/>
                <w:szCs w:val="12"/>
                <w:b w:val="1"/>
                <w:bCs w:val="1"/>
                <w:color w:val="05445E"/>
                <w:w w:val="99"/>
              </w:rPr>
              <w:t>Number of Shares Acquired</w:t>
            </w:r>
          </w:p>
        </w:tc>
        <w:tc>
          <w:tcPr>
            <w:tcW w:w="13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05445E"/>
              </w:rPr>
              <w:t>Realized on</w:t>
            </w:r>
          </w:p>
        </w:tc>
        <w:tc>
          <w:tcPr>
            <w:tcW w:w="226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05445E"/>
                <w:w w:val="99"/>
              </w:rPr>
              <w:t>Acquired on</w:t>
            </w:r>
          </w:p>
        </w:tc>
        <w:tc>
          <w:tcPr>
            <w:tcW w:w="1240" w:type="dxa"/>
            <w:vAlign w:val="bottom"/>
          </w:tcPr>
          <w:p>
            <w:pPr>
              <w:jc w:val="center"/>
              <w:ind w:right="420"/>
              <w:spacing w:after="0"/>
              <w:rPr>
                <w:sz w:val="20"/>
                <w:szCs w:val="20"/>
                <w:color w:val="auto"/>
              </w:rPr>
            </w:pPr>
            <w:r>
              <w:rPr>
                <w:rFonts w:ascii="Arial" w:cs="Arial" w:eastAsia="Arial" w:hAnsi="Arial"/>
                <w:sz w:val="12"/>
                <w:szCs w:val="12"/>
                <w:b w:val="1"/>
                <w:bCs w:val="1"/>
                <w:color w:val="05445E"/>
              </w:rPr>
              <w:t>on</w:t>
            </w:r>
          </w:p>
        </w:tc>
      </w:tr>
      <w:tr>
        <w:trPr>
          <w:trHeight w:val="141"/>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2"/>
                <w:szCs w:val="12"/>
                <w:b w:val="1"/>
                <w:bCs w:val="1"/>
                <w:color w:val="05445E"/>
                <w:w w:val="97"/>
              </w:rPr>
              <w:t>on Exercise</w:t>
            </w:r>
          </w:p>
        </w:tc>
        <w:tc>
          <w:tcPr>
            <w:tcW w:w="13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05445E"/>
                <w:w w:val="97"/>
              </w:rPr>
              <w:t>Exercise</w:t>
            </w:r>
          </w:p>
        </w:tc>
        <w:tc>
          <w:tcPr>
            <w:tcW w:w="226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05445E"/>
                <w:w w:val="96"/>
              </w:rPr>
              <w:t>Vesting</w:t>
            </w:r>
          </w:p>
        </w:tc>
        <w:tc>
          <w:tcPr>
            <w:tcW w:w="1240" w:type="dxa"/>
            <w:vAlign w:val="bottom"/>
          </w:tcPr>
          <w:p>
            <w:pPr>
              <w:jc w:val="center"/>
              <w:ind w:right="420"/>
              <w:spacing w:after="0"/>
              <w:rPr>
                <w:sz w:val="20"/>
                <w:szCs w:val="20"/>
                <w:color w:val="auto"/>
              </w:rPr>
            </w:pPr>
            <w:r>
              <w:rPr>
                <w:rFonts w:ascii="Arial" w:cs="Arial" w:eastAsia="Arial" w:hAnsi="Arial"/>
                <w:sz w:val="12"/>
                <w:szCs w:val="12"/>
                <w:b w:val="1"/>
                <w:bCs w:val="1"/>
                <w:color w:val="05445E"/>
              </w:rPr>
              <w:t>Vesting</w:t>
            </w:r>
          </w:p>
        </w:tc>
      </w:tr>
      <w:tr>
        <w:trPr>
          <w:trHeight w:val="178"/>
        </w:trPr>
        <w:tc>
          <w:tcPr>
            <w:tcW w:w="414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Name</w:t>
            </w:r>
          </w:p>
        </w:tc>
        <w:tc>
          <w:tcPr>
            <w:tcW w:w="80" w:type="dxa"/>
            <w:vAlign w:val="bottom"/>
            <w:tcBorders>
              <w:bottom w:val="single" w:sz="8" w:color="D9D9D9"/>
            </w:tcBorders>
          </w:tcPr>
          <w:p>
            <w:pPr>
              <w:spacing w:after="0"/>
              <w:rPr>
                <w:sz w:val="15"/>
                <w:szCs w:val="15"/>
                <w:color w:val="auto"/>
              </w:rPr>
            </w:pPr>
          </w:p>
        </w:tc>
        <w:tc>
          <w:tcPr>
            <w:tcW w:w="1700" w:type="dxa"/>
            <w:vAlign w:val="bottom"/>
            <w:tcBorders>
              <w:bottom w:val="single" w:sz="8" w:color="929292"/>
            </w:tcBorders>
            <w:gridSpan w:val="2"/>
          </w:tcPr>
          <w:p>
            <w:pPr>
              <w:jc w:val="center"/>
              <w:spacing w:after="0"/>
              <w:rPr>
                <w:sz w:val="20"/>
                <w:szCs w:val="20"/>
                <w:color w:val="auto"/>
              </w:rPr>
            </w:pPr>
            <w:r>
              <w:rPr>
                <w:rFonts w:ascii="Arial" w:cs="Arial" w:eastAsia="Arial" w:hAnsi="Arial"/>
                <w:sz w:val="12"/>
                <w:szCs w:val="12"/>
                <w:b w:val="1"/>
                <w:bCs w:val="1"/>
                <w:color w:val="05445E"/>
                <w:w w:val="95"/>
              </w:rPr>
              <w:t>(#)</w:t>
            </w:r>
          </w:p>
        </w:tc>
        <w:tc>
          <w:tcPr>
            <w:tcW w:w="80" w:type="dxa"/>
            <w:vAlign w:val="bottom"/>
            <w:tcBorders>
              <w:bottom w:val="single" w:sz="8" w:color="D9D9D9"/>
            </w:tcBorders>
          </w:tcPr>
          <w:p>
            <w:pPr>
              <w:spacing w:after="0"/>
              <w:rPr>
                <w:sz w:val="15"/>
                <w:szCs w:val="15"/>
                <w:color w:val="auto"/>
              </w:rPr>
            </w:pPr>
          </w:p>
        </w:tc>
        <w:tc>
          <w:tcPr>
            <w:tcW w:w="460" w:type="dxa"/>
            <w:vAlign w:val="bottom"/>
            <w:tcBorders>
              <w:bottom w:val="single" w:sz="8" w:color="929292"/>
            </w:tcBorders>
          </w:tcPr>
          <w:p>
            <w:pPr>
              <w:spacing w:after="0"/>
              <w:rPr>
                <w:sz w:val="15"/>
                <w:szCs w:val="15"/>
                <w:color w:val="auto"/>
              </w:rPr>
            </w:pPr>
          </w:p>
        </w:tc>
        <w:tc>
          <w:tcPr>
            <w:tcW w:w="1260" w:type="dxa"/>
            <w:vAlign w:val="bottom"/>
            <w:tcBorders>
              <w:bottom w:val="single" w:sz="8" w:color="929292"/>
            </w:tcBorders>
          </w:tcPr>
          <w:p>
            <w:pPr>
              <w:jc w:val="center"/>
              <w:ind w:right="400"/>
              <w:spacing w:after="0"/>
              <w:rPr>
                <w:sz w:val="20"/>
                <w:szCs w:val="20"/>
                <w:color w:val="auto"/>
              </w:rPr>
            </w:pPr>
            <w:r>
              <w:rPr>
                <w:rFonts w:ascii="Arial" w:cs="Arial" w:eastAsia="Arial" w:hAnsi="Arial"/>
                <w:sz w:val="12"/>
                <w:szCs w:val="12"/>
                <w:b w:val="1"/>
                <w:bCs w:val="1"/>
                <w:color w:val="05445E"/>
              </w:rPr>
              <w:t>($)</w:t>
            </w:r>
          </w:p>
        </w:tc>
        <w:tc>
          <w:tcPr>
            <w:tcW w:w="80" w:type="dxa"/>
            <w:vAlign w:val="bottom"/>
            <w:tcBorders>
              <w:bottom w:val="single" w:sz="8" w:color="D9D9D9"/>
            </w:tcBorders>
          </w:tcPr>
          <w:p>
            <w:pPr>
              <w:spacing w:after="0"/>
              <w:rPr>
                <w:sz w:val="15"/>
                <w:szCs w:val="15"/>
                <w:color w:val="auto"/>
              </w:rPr>
            </w:pPr>
          </w:p>
        </w:tc>
        <w:tc>
          <w:tcPr>
            <w:tcW w:w="1700" w:type="dxa"/>
            <w:vAlign w:val="bottom"/>
            <w:tcBorders>
              <w:bottom w:val="single" w:sz="8" w:color="929292"/>
            </w:tcBorders>
          </w:tcPr>
          <w:p>
            <w:pPr>
              <w:jc w:val="center"/>
              <w:ind w:right="640"/>
              <w:spacing w:after="0"/>
              <w:rPr>
                <w:sz w:val="20"/>
                <w:szCs w:val="20"/>
                <w:color w:val="auto"/>
              </w:rPr>
            </w:pPr>
            <w:r>
              <w:rPr>
                <w:rFonts w:ascii="Arial" w:cs="Arial" w:eastAsia="Arial" w:hAnsi="Arial"/>
                <w:sz w:val="12"/>
                <w:szCs w:val="12"/>
                <w:b w:val="1"/>
                <w:bCs w:val="1"/>
                <w:color w:val="05445E"/>
              </w:rPr>
              <w:t>(#)</w:t>
            </w:r>
            <w:r>
              <w:rPr>
                <w:rFonts w:ascii="Arial" w:cs="Arial" w:eastAsia="Arial" w:hAnsi="Arial"/>
                <w:sz w:val="15"/>
                <w:szCs w:val="15"/>
                <w:b w:val="1"/>
                <w:bCs w:val="1"/>
                <w:color w:val="05445E"/>
                <w:vertAlign w:val="superscript"/>
              </w:rPr>
              <w:t>(1)</w:t>
            </w:r>
          </w:p>
        </w:tc>
        <w:tc>
          <w:tcPr>
            <w:tcW w:w="80" w:type="dxa"/>
            <w:vAlign w:val="bottom"/>
            <w:tcBorders>
              <w:bottom w:val="single" w:sz="8" w:color="D9D9D9"/>
            </w:tcBorders>
          </w:tcPr>
          <w:p>
            <w:pPr>
              <w:spacing w:after="0"/>
              <w:rPr>
                <w:sz w:val="15"/>
                <w:szCs w:val="15"/>
                <w:color w:val="auto"/>
              </w:rPr>
            </w:pPr>
          </w:p>
        </w:tc>
        <w:tc>
          <w:tcPr>
            <w:tcW w:w="480" w:type="dxa"/>
            <w:vAlign w:val="bottom"/>
            <w:tcBorders>
              <w:bottom w:val="single" w:sz="8" w:color="929292"/>
            </w:tcBorders>
          </w:tcPr>
          <w:p>
            <w:pPr>
              <w:spacing w:after="0"/>
              <w:rPr>
                <w:sz w:val="15"/>
                <w:szCs w:val="15"/>
                <w:color w:val="auto"/>
              </w:rPr>
            </w:pPr>
          </w:p>
        </w:tc>
        <w:tc>
          <w:tcPr>
            <w:tcW w:w="1240" w:type="dxa"/>
            <w:vAlign w:val="bottom"/>
            <w:tcBorders>
              <w:bottom w:val="single" w:sz="8" w:color="929292"/>
            </w:tcBorders>
          </w:tcPr>
          <w:p>
            <w:pPr>
              <w:jc w:val="center"/>
              <w:ind w:right="420"/>
              <w:spacing w:after="0"/>
              <w:rPr>
                <w:sz w:val="20"/>
                <w:szCs w:val="20"/>
                <w:color w:val="auto"/>
              </w:rPr>
            </w:pPr>
            <w:r>
              <w:rPr>
                <w:rFonts w:ascii="Arial" w:cs="Arial" w:eastAsia="Arial" w:hAnsi="Arial"/>
                <w:sz w:val="12"/>
                <w:szCs w:val="12"/>
                <w:b w:val="1"/>
                <w:bCs w:val="1"/>
                <w:color w:val="05445E"/>
                <w:w w:val="89"/>
              </w:rPr>
              <w:t>($)</w:t>
            </w:r>
            <w:r>
              <w:rPr>
                <w:rFonts w:ascii="Arial" w:cs="Arial" w:eastAsia="Arial" w:hAnsi="Arial"/>
                <w:sz w:val="15"/>
                <w:szCs w:val="15"/>
                <w:b w:val="1"/>
                <w:bCs w:val="1"/>
                <w:color w:val="05445E"/>
                <w:w w:val="89"/>
                <w:vertAlign w:val="superscript"/>
              </w:rPr>
              <w:t>(2)</w:t>
            </w:r>
          </w:p>
        </w:tc>
      </w:tr>
      <w:tr>
        <w:trPr>
          <w:trHeight w:val="169"/>
        </w:trPr>
        <w:tc>
          <w:tcPr>
            <w:tcW w:w="4220" w:type="dxa"/>
            <w:vAlign w:val="bottom"/>
            <w:gridSpan w:val="2"/>
            <w:shd w:val="clear" w:color="auto" w:fill="D9D9D9"/>
          </w:tcPr>
          <w:p>
            <w:pPr>
              <w:spacing w:after="0" w:line="169" w:lineRule="exact"/>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(3)</w:t>
            </w:r>
          </w:p>
        </w:tc>
        <w:tc>
          <w:tcPr>
            <w:tcW w:w="2240" w:type="dxa"/>
            <w:vAlign w:val="bottom"/>
            <w:gridSpan w:val="4"/>
            <w:shd w:val="clear" w:color="auto" w:fill="D9D9D9"/>
          </w:tcPr>
          <w:p>
            <w:pPr>
              <w:ind w:left="78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D9D9D9"/>
          </w:tcPr>
          <w:p>
            <w:pPr>
              <w:jc w:val="center"/>
              <w:ind w:right="540"/>
              <w:spacing w:after="0"/>
              <w:rPr>
                <w:sz w:val="20"/>
                <w:szCs w:val="20"/>
                <w:color w:val="auto"/>
              </w:rPr>
            </w:pPr>
            <w:r>
              <w:rPr>
                <w:rFonts w:ascii="Arial" w:cs="Arial" w:eastAsia="Arial" w:hAnsi="Arial"/>
                <w:sz w:val="12"/>
                <w:szCs w:val="12"/>
                <w:color w:val="auto"/>
                <w:w w:val="99"/>
              </w:rPr>
              <w:t>—</w:t>
            </w:r>
          </w:p>
        </w:tc>
        <w:tc>
          <w:tcPr>
            <w:tcW w:w="2260" w:type="dxa"/>
            <w:vAlign w:val="bottom"/>
            <w:gridSpan w:val="3"/>
            <w:shd w:val="clear" w:color="auto" w:fill="D9D9D9"/>
          </w:tcPr>
          <w:p>
            <w:pPr>
              <w:jc w:val="center"/>
              <w:ind w:right="540"/>
              <w:spacing w:after="0"/>
              <w:rPr>
                <w:sz w:val="20"/>
                <w:szCs w:val="20"/>
                <w:color w:val="auto"/>
              </w:rPr>
            </w:pPr>
            <w:r>
              <w:rPr>
                <w:rFonts w:ascii="Arial" w:cs="Arial" w:eastAsia="Arial" w:hAnsi="Arial"/>
                <w:sz w:val="12"/>
                <w:szCs w:val="12"/>
                <w:color w:val="auto"/>
                <w:w w:val="99"/>
              </w:rPr>
              <w:t>—</w:t>
            </w:r>
          </w:p>
        </w:tc>
        <w:tc>
          <w:tcPr>
            <w:tcW w:w="1240" w:type="dxa"/>
            <w:vAlign w:val="bottom"/>
            <w:shd w:val="clear" w:color="auto" w:fill="D9D9D9"/>
          </w:tcPr>
          <w:p>
            <w:pPr>
              <w:jc w:val="center"/>
              <w:ind w:right="420"/>
              <w:spacing w:after="0"/>
              <w:rPr>
                <w:sz w:val="20"/>
                <w:szCs w:val="20"/>
                <w:color w:val="auto"/>
              </w:rPr>
            </w:pPr>
            <w:r>
              <w:rPr>
                <w:rFonts w:ascii="Arial" w:cs="Arial" w:eastAsia="Arial" w:hAnsi="Arial"/>
                <w:sz w:val="12"/>
                <w:szCs w:val="12"/>
                <w:color w:val="auto"/>
                <w:w w:val="99"/>
              </w:rPr>
              <w:t>—</w:t>
            </w:r>
          </w:p>
        </w:tc>
      </w:tr>
      <w:tr>
        <w:trPr>
          <w:trHeight w:val="172"/>
        </w:trPr>
        <w:tc>
          <w:tcPr>
            <w:tcW w:w="4220" w:type="dxa"/>
            <w:vAlign w:val="bottom"/>
            <w:gridSpan w:val="2"/>
          </w:tcPr>
          <w:p>
            <w:pPr>
              <w:spacing w:after="0"/>
              <w:rPr>
                <w:sz w:val="20"/>
                <w:szCs w:val="20"/>
                <w:color w:val="auto"/>
              </w:rPr>
            </w:pPr>
            <w:r>
              <w:rPr>
                <w:rFonts w:ascii="Arial" w:cs="Arial" w:eastAsia="Arial" w:hAnsi="Arial"/>
                <w:sz w:val="12"/>
                <w:szCs w:val="12"/>
                <w:color w:val="auto"/>
              </w:rPr>
              <w:t>Mark R. Augdahl</w:t>
            </w:r>
          </w:p>
        </w:tc>
        <w:tc>
          <w:tcPr>
            <w:tcW w:w="2240" w:type="dxa"/>
            <w:vAlign w:val="bottom"/>
            <w:gridSpan w:val="4"/>
          </w:tcPr>
          <w:p>
            <w:pPr>
              <w:ind w:left="78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center"/>
              <w:ind w:right="540"/>
              <w:spacing w:after="0"/>
              <w:rPr>
                <w:sz w:val="20"/>
                <w:szCs w:val="20"/>
                <w:color w:val="auto"/>
              </w:rPr>
            </w:pPr>
            <w:r>
              <w:rPr>
                <w:rFonts w:ascii="Arial" w:cs="Arial" w:eastAsia="Arial" w:hAnsi="Arial"/>
                <w:sz w:val="12"/>
                <w:szCs w:val="12"/>
                <w:color w:val="auto"/>
                <w:w w:val="99"/>
              </w:rPr>
              <w:t>—</w:t>
            </w:r>
          </w:p>
        </w:tc>
        <w:tc>
          <w:tcPr>
            <w:tcW w:w="1700" w:type="dxa"/>
            <w:vAlign w:val="bottom"/>
          </w:tcPr>
          <w:p>
            <w:pPr>
              <w:jc w:val="right"/>
              <w:ind w:right="240"/>
              <w:spacing w:after="0"/>
              <w:rPr>
                <w:sz w:val="20"/>
                <w:szCs w:val="20"/>
                <w:color w:val="auto"/>
              </w:rPr>
            </w:pPr>
            <w:r>
              <w:rPr>
                <w:rFonts w:ascii="Arial" w:cs="Arial" w:eastAsia="Arial" w:hAnsi="Arial"/>
                <w:sz w:val="12"/>
                <w:szCs w:val="12"/>
                <w:color w:val="auto"/>
              </w:rPr>
              <w:t>3,289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0"/>
              <w:spacing w:after="0"/>
              <w:rPr>
                <w:sz w:val="20"/>
                <w:szCs w:val="20"/>
                <w:color w:val="auto"/>
              </w:rPr>
            </w:pPr>
            <w:r>
              <w:rPr>
                <w:rFonts w:ascii="Arial" w:cs="Arial" w:eastAsia="Arial" w:hAnsi="Arial"/>
                <w:sz w:val="12"/>
                <w:szCs w:val="12"/>
                <w:color w:val="auto"/>
              </w:rPr>
              <w:t>130,851</w:t>
            </w:r>
          </w:p>
        </w:tc>
      </w:tr>
      <w:tr>
        <w:trPr>
          <w:trHeight w:val="188"/>
        </w:trPr>
        <w:tc>
          <w:tcPr>
            <w:tcW w:w="422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Troy R. Johnson</w:t>
            </w:r>
          </w:p>
        </w:tc>
        <w:tc>
          <w:tcPr>
            <w:tcW w:w="2240" w:type="dxa"/>
            <w:vAlign w:val="bottom"/>
            <w:gridSpan w:val="4"/>
            <w:shd w:val="clear" w:color="auto" w:fill="D9D9D9"/>
          </w:tcPr>
          <w:p>
            <w:pPr>
              <w:ind w:left="78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D9D9D9"/>
          </w:tcPr>
          <w:p>
            <w:pPr>
              <w:jc w:val="center"/>
              <w:ind w:right="540"/>
              <w:spacing w:after="0"/>
              <w:rPr>
                <w:sz w:val="20"/>
                <w:szCs w:val="20"/>
                <w:color w:val="auto"/>
              </w:rPr>
            </w:pPr>
            <w:r>
              <w:rPr>
                <w:rFonts w:ascii="Arial" w:cs="Arial" w:eastAsia="Arial" w:hAnsi="Arial"/>
                <w:sz w:val="12"/>
                <w:szCs w:val="12"/>
                <w:color w:val="auto"/>
                <w:w w:val="99"/>
              </w:rPr>
              <w:t>—</w:t>
            </w:r>
          </w:p>
        </w:tc>
        <w:tc>
          <w:tcPr>
            <w:tcW w:w="170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4,659</w:t>
            </w:r>
          </w:p>
        </w:tc>
        <w:tc>
          <w:tcPr>
            <w:tcW w:w="80" w:type="dxa"/>
            <w:vAlign w:val="bottom"/>
            <w:shd w:val="clear" w:color="auto" w:fill="D9D9D9"/>
          </w:tcPr>
          <w:p>
            <w:pPr>
              <w:spacing w:after="0"/>
              <w:rPr>
                <w:sz w:val="16"/>
                <w:szCs w:val="16"/>
                <w:color w:val="auto"/>
              </w:rPr>
            </w:pPr>
          </w:p>
        </w:tc>
        <w:tc>
          <w:tcPr>
            <w:tcW w:w="480" w:type="dxa"/>
            <w:vAlign w:val="bottom"/>
            <w:shd w:val="clear" w:color="auto" w:fill="D9D9D9"/>
          </w:tcPr>
          <w:p>
            <w:pPr>
              <w:spacing w:after="0"/>
              <w:rPr>
                <w:sz w:val="16"/>
                <w:szCs w:val="16"/>
                <w:color w:val="auto"/>
              </w:rPr>
            </w:pPr>
          </w:p>
        </w:tc>
        <w:tc>
          <w:tcPr>
            <w:tcW w:w="1240" w:type="dxa"/>
            <w:vAlign w:val="bottom"/>
            <w:shd w:val="clear" w:color="auto" w:fill="D9D9D9"/>
          </w:tcPr>
          <w:p>
            <w:pPr>
              <w:jc w:val="right"/>
              <w:ind w:right="180"/>
              <w:spacing w:after="0"/>
              <w:rPr>
                <w:sz w:val="20"/>
                <w:szCs w:val="20"/>
                <w:color w:val="auto"/>
              </w:rPr>
            </w:pPr>
            <w:r>
              <w:rPr>
                <w:rFonts w:ascii="Arial" w:cs="Arial" w:eastAsia="Arial" w:hAnsi="Arial"/>
                <w:sz w:val="12"/>
                <w:szCs w:val="12"/>
                <w:color w:val="auto"/>
              </w:rPr>
              <w:t>185,244</w:t>
            </w:r>
          </w:p>
        </w:tc>
      </w:tr>
      <w:tr>
        <w:trPr>
          <w:trHeight w:val="172"/>
        </w:trPr>
        <w:tc>
          <w:tcPr>
            <w:tcW w:w="4220" w:type="dxa"/>
            <w:vAlign w:val="bottom"/>
            <w:gridSpan w:val="2"/>
          </w:tcPr>
          <w:p>
            <w:pPr>
              <w:spacing w:after="0"/>
              <w:rPr>
                <w:sz w:val="20"/>
                <w:szCs w:val="20"/>
                <w:color w:val="auto"/>
              </w:rPr>
            </w:pPr>
            <w:r>
              <w:rPr>
                <w:rFonts w:ascii="Arial" w:cs="Arial" w:eastAsia="Arial" w:hAnsi="Arial"/>
                <w:sz w:val="12"/>
                <w:szCs w:val="12"/>
                <w:color w:val="auto"/>
              </w:rPr>
              <w:t>Veena M. Lakkundi</w:t>
            </w:r>
          </w:p>
        </w:tc>
        <w:tc>
          <w:tcPr>
            <w:tcW w:w="2240" w:type="dxa"/>
            <w:vAlign w:val="bottom"/>
            <w:gridSpan w:val="4"/>
          </w:tcPr>
          <w:p>
            <w:pPr>
              <w:ind w:left="78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center"/>
              <w:ind w:right="540"/>
              <w:spacing w:after="0"/>
              <w:rPr>
                <w:sz w:val="20"/>
                <w:szCs w:val="20"/>
                <w:color w:val="auto"/>
              </w:rPr>
            </w:pPr>
            <w:r>
              <w:rPr>
                <w:rFonts w:ascii="Arial" w:cs="Arial" w:eastAsia="Arial" w:hAnsi="Arial"/>
                <w:sz w:val="12"/>
                <w:szCs w:val="12"/>
                <w:color w:val="auto"/>
                <w:w w:val="99"/>
              </w:rPr>
              <w:t>—</w:t>
            </w:r>
          </w:p>
        </w:tc>
        <w:tc>
          <w:tcPr>
            <w:tcW w:w="1700" w:type="dxa"/>
            <w:vAlign w:val="bottom"/>
          </w:tcPr>
          <w:p>
            <w:pPr>
              <w:jc w:val="right"/>
              <w:ind w:right="240"/>
              <w:spacing w:after="0"/>
              <w:rPr>
                <w:sz w:val="20"/>
                <w:szCs w:val="20"/>
                <w:color w:val="auto"/>
              </w:rPr>
            </w:pPr>
            <w:r>
              <w:rPr>
                <w:rFonts w:ascii="Arial" w:cs="Arial" w:eastAsia="Arial" w:hAnsi="Arial"/>
                <w:sz w:val="12"/>
                <w:szCs w:val="12"/>
                <w:color w:val="auto"/>
              </w:rPr>
              <w:t>2,460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0"/>
              <w:spacing w:after="0"/>
              <w:rPr>
                <w:sz w:val="20"/>
                <w:szCs w:val="20"/>
                <w:color w:val="auto"/>
              </w:rPr>
            </w:pPr>
            <w:r>
              <w:rPr>
                <w:rFonts w:ascii="Arial" w:cs="Arial" w:eastAsia="Arial" w:hAnsi="Arial"/>
                <w:sz w:val="12"/>
                <w:szCs w:val="12"/>
                <w:color w:val="auto"/>
              </w:rPr>
              <w:t>91,733</w:t>
            </w:r>
          </w:p>
        </w:tc>
      </w:tr>
      <w:tr>
        <w:trPr>
          <w:trHeight w:val="188"/>
        </w:trPr>
        <w:tc>
          <w:tcPr>
            <w:tcW w:w="422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Brent C. Jewell</w:t>
            </w:r>
          </w:p>
        </w:tc>
        <w:tc>
          <w:tcPr>
            <w:tcW w:w="2240" w:type="dxa"/>
            <w:vAlign w:val="bottom"/>
            <w:gridSpan w:val="4"/>
            <w:shd w:val="clear" w:color="auto" w:fill="D9D9D9"/>
          </w:tcPr>
          <w:p>
            <w:pPr>
              <w:ind w:left="78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D9D9D9"/>
          </w:tcPr>
          <w:p>
            <w:pPr>
              <w:jc w:val="center"/>
              <w:ind w:right="540"/>
              <w:spacing w:after="0"/>
              <w:rPr>
                <w:sz w:val="20"/>
                <w:szCs w:val="20"/>
                <w:color w:val="auto"/>
              </w:rPr>
            </w:pPr>
            <w:r>
              <w:rPr>
                <w:rFonts w:ascii="Arial" w:cs="Arial" w:eastAsia="Arial" w:hAnsi="Arial"/>
                <w:sz w:val="12"/>
                <w:szCs w:val="12"/>
                <w:color w:val="auto"/>
                <w:w w:val="99"/>
              </w:rPr>
              <w:t>—</w:t>
            </w:r>
          </w:p>
        </w:tc>
        <w:tc>
          <w:tcPr>
            <w:tcW w:w="170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6,331</w:t>
            </w:r>
          </w:p>
        </w:tc>
        <w:tc>
          <w:tcPr>
            <w:tcW w:w="80" w:type="dxa"/>
            <w:vAlign w:val="bottom"/>
            <w:shd w:val="clear" w:color="auto" w:fill="D9D9D9"/>
          </w:tcPr>
          <w:p>
            <w:pPr>
              <w:spacing w:after="0"/>
              <w:rPr>
                <w:sz w:val="16"/>
                <w:szCs w:val="16"/>
                <w:color w:val="auto"/>
              </w:rPr>
            </w:pPr>
          </w:p>
        </w:tc>
        <w:tc>
          <w:tcPr>
            <w:tcW w:w="480" w:type="dxa"/>
            <w:vAlign w:val="bottom"/>
            <w:shd w:val="clear" w:color="auto" w:fill="D9D9D9"/>
          </w:tcPr>
          <w:p>
            <w:pPr>
              <w:spacing w:after="0"/>
              <w:rPr>
                <w:sz w:val="16"/>
                <w:szCs w:val="16"/>
                <w:color w:val="auto"/>
              </w:rPr>
            </w:pPr>
          </w:p>
        </w:tc>
        <w:tc>
          <w:tcPr>
            <w:tcW w:w="1240" w:type="dxa"/>
            <w:vAlign w:val="bottom"/>
            <w:shd w:val="clear" w:color="auto" w:fill="D9D9D9"/>
          </w:tcPr>
          <w:p>
            <w:pPr>
              <w:jc w:val="right"/>
              <w:ind w:right="180"/>
              <w:spacing w:after="0"/>
              <w:rPr>
                <w:sz w:val="20"/>
                <w:szCs w:val="20"/>
                <w:color w:val="auto"/>
              </w:rPr>
            </w:pPr>
            <w:r>
              <w:rPr>
                <w:rFonts w:ascii="Arial" w:cs="Arial" w:eastAsia="Arial" w:hAnsi="Arial"/>
                <w:sz w:val="12"/>
                <w:szCs w:val="12"/>
                <w:color w:val="auto"/>
              </w:rPr>
              <w:t>249,910</w:t>
            </w:r>
          </w:p>
        </w:tc>
      </w:tr>
      <w:tr>
        <w:trPr>
          <w:trHeight w:val="180"/>
        </w:trPr>
        <w:tc>
          <w:tcPr>
            <w:tcW w:w="4220" w:type="dxa"/>
            <w:vAlign w:val="bottom"/>
            <w:gridSpan w:val="2"/>
          </w:tcPr>
          <w:p>
            <w:pPr>
              <w:spacing w:after="0"/>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(4)</w:t>
            </w:r>
          </w:p>
        </w:tc>
        <w:tc>
          <w:tcPr>
            <w:tcW w:w="2240" w:type="dxa"/>
            <w:vAlign w:val="bottom"/>
            <w:gridSpan w:val="4"/>
          </w:tcPr>
          <w:p>
            <w:pPr>
              <w:ind w:left="78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center"/>
              <w:ind w:right="540"/>
              <w:spacing w:after="0"/>
              <w:rPr>
                <w:sz w:val="20"/>
                <w:szCs w:val="20"/>
                <w:color w:val="auto"/>
              </w:rPr>
            </w:pPr>
            <w:r>
              <w:rPr>
                <w:rFonts w:ascii="Arial" w:cs="Arial" w:eastAsia="Arial" w:hAnsi="Arial"/>
                <w:sz w:val="12"/>
                <w:szCs w:val="12"/>
                <w:color w:val="auto"/>
                <w:w w:val="99"/>
              </w:rPr>
              <w:t>—</w:t>
            </w:r>
          </w:p>
        </w:tc>
        <w:tc>
          <w:tcPr>
            <w:tcW w:w="1700" w:type="dxa"/>
            <w:vAlign w:val="bottom"/>
          </w:tcPr>
          <w:p>
            <w:pPr>
              <w:jc w:val="right"/>
              <w:ind w:right="240"/>
              <w:spacing w:after="0"/>
              <w:rPr>
                <w:sz w:val="20"/>
                <w:szCs w:val="20"/>
                <w:color w:val="auto"/>
              </w:rPr>
            </w:pPr>
            <w:r>
              <w:rPr>
                <w:rFonts w:ascii="Arial" w:cs="Arial" w:eastAsia="Arial" w:hAnsi="Arial"/>
                <w:sz w:val="12"/>
                <w:szCs w:val="12"/>
                <w:color w:val="auto"/>
              </w:rPr>
              <w:t>98,178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180"/>
              <w:spacing w:after="0"/>
              <w:rPr>
                <w:sz w:val="20"/>
                <w:szCs w:val="20"/>
                <w:color w:val="auto"/>
              </w:rPr>
            </w:pPr>
            <w:r>
              <w:rPr>
                <w:rFonts w:ascii="Arial" w:cs="Arial" w:eastAsia="Arial" w:hAnsi="Arial"/>
                <w:sz w:val="12"/>
                <w:szCs w:val="12"/>
                <w:color w:val="auto"/>
              </w:rPr>
              <w:t>3,657,539</w:t>
            </w:r>
          </w:p>
        </w:tc>
      </w:tr>
      <w:tr>
        <w:trPr>
          <w:trHeight w:val="180"/>
        </w:trPr>
        <w:tc>
          <w:tcPr>
            <w:tcW w:w="4220" w:type="dxa"/>
            <w:vAlign w:val="bottom"/>
            <w:gridSpan w:val="2"/>
            <w:shd w:val="clear" w:color="auto" w:fill="D9D9D9"/>
          </w:tcPr>
          <w:p>
            <w:pPr>
              <w:spacing w:after="0"/>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(5)</w:t>
            </w:r>
          </w:p>
        </w:tc>
        <w:tc>
          <w:tcPr>
            <w:tcW w:w="900" w:type="dxa"/>
            <w:vAlign w:val="bottom"/>
            <w:shd w:val="clear" w:color="auto" w:fill="D9D9D9"/>
          </w:tcPr>
          <w:p>
            <w:pPr>
              <w:ind w:left="780"/>
              <w:spacing w:after="0"/>
              <w:rPr>
                <w:sz w:val="20"/>
                <w:szCs w:val="20"/>
                <w:color w:val="auto"/>
              </w:rPr>
            </w:pPr>
            <w:r>
              <w:rPr>
                <w:rFonts w:ascii="Arial" w:cs="Arial" w:eastAsia="Arial" w:hAnsi="Arial"/>
                <w:sz w:val="12"/>
                <w:szCs w:val="12"/>
                <w:color w:val="auto"/>
                <w:strike w:val="1"/>
                <w:w w:val="82"/>
              </w:rPr>
              <w:t>—</w:t>
            </w:r>
          </w:p>
        </w:tc>
        <w:tc>
          <w:tcPr>
            <w:tcW w:w="1340" w:type="dxa"/>
            <w:vAlign w:val="bottom"/>
            <w:gridSpan w:val="3"/>
            <w:shd w:val="clear" w:color="auto" w:fill="D9D9D9"/>
          </w:tcPr>
          <w:p>
            <w:pPr>
              <w:spacing w:after="0"/>
              <w:rPr>
                <w:sz w:val="15"/>
                <w:szCs w:val="15"/>
                <w:color w:val="auto"/>
              </w:rPr>
            </w:pPr>
          </w:p>
        </w:tc>
        <w:tc>
          <w:tcPr>
            <w:tcW w:w="1260" w:type="dxa"/>
            <w:vAlign w:val="bottom"/>
            <w:shd w:val="clear" w:color="auto" w:fill="D9D9D9"/>
          </w:tcPr>
          <w:p>
            <w:pPr>
              <w:jc w:val="center"/>
              <w:ind w:right="400"/>
              <w:spacing w:after="0"/>
              <w:rPr>
                <w:sz w:val="20"/>
                <w:szCs w:val="20"/>
                <w:color w:val="auto"/>
              </w:rPr>
            </w:pPr>
            <w:r>
              <w:rPr>
                <w:rFonts w:ascii="Arial" w:cs="Arial" w:eastAsia="Arial" w:hAnsi="Arial"/>
                <w:sz w:val="12"/>
                <w:szCs w:val="12"/>
                <w:color w:val="auto"/>
                <w:strike w:val="1"/>
                <w:w w:val="99"/>
              </w:rPr>
              <w:t>—</w:t>
            </w:r>
          </w:p>
        </w:tc>
        <w:tc>
          <w:tcPr>
            <w:tcW w:w="80" w:type="dxa"/>
            <w:vAlign w:val="bottom"/>
            <w:shd w:val="clear" w:color="auto" w:fill="D9D9D9"/>
          </w:tcPr>
          <w:p>
            <w:pPr>
              <w:spacing w:after="0"/>
              <w:rPr>
                <w:sz w:val="15"/>
                <w:szCs w:val="15"/>
                <w:color w:val="auto"/>
              </w:rPr>
            </w:pPr>
          </w:p>
        </w:tc>
        <w:tc>
          <w:tcPr>
            <w:tcW w:w="1700" w:type="dxa"/>
            <w:vAlign w:val="bottom"/>
            <w:shd w:val="clear" w:color="auto" w:fill="D9D9D9"/>
          </w:tcPr>
          <w:p>
            <w:pPr>
              <w:jc w:val="right"/>
              <w:ind w:right="1060"/>
              <w:spacing w:after="0"/>
              <w:rPr>
                <w:sz w:val="20"/>
                <w:szCs w:val="20"/>
                <w:color w:val="auto"/>
              </w:rPr>
            </w:pPr>
            <w:r>
              <w:rPr>
                <w:rFonts w:ascii="Arial" w:cs="Arial" w:eastAsia="Arial" w:hAnsi="Arial"/>
                <w:sz w:val="12"/>
                <w:szCs w:val="12"/>
                <w:color w:val="auto"/>
              </w:rPr>
              <w:t>16,152</w:t>
            </w:r>
          </w:p>
        </w:tc>
        <w:tc>
          <w:tcPr>
            <w:tcW w:w="80" w:type="dxa"/>
            <w:vAlign w:val="bottom"/>
            <w:shd w:val="clear" w:color="auto" w:fill="D9D9D9"/>
          </w:tcPr>
          <w:p>
            <w:pPr>
              <w:spacing w:after="0"/>
              <w:rPr>
                <w:sz w:val="15"/>
                <w:szCs w:val="15"/>
                <w:color w:val="auto"/>
              </w:rPr>
            </w:pPr>
          </w:p>
        </w:tc>
        <w:tc>
          <w:tcPr>
            <w:tcW w:w="480" w:type="dxa"/>
            <w:vAlign w:val="bottom"/>
            <w:shd w:val="clear" w:color="auto" w:fill="D9D9D9"/>
          </w:tcPr>
          <w:p>
            <w:pPr>
              <w:spacing w:after="0"/>
              <w:rPr>
                <w:sz w:val="15"/>
                <w:szCs w:val="15"/>
                <w:color w:val="auto"/>
              </w:rPr>
            </w:pPr>
          </w:p>
        </w:tc>
        <w:tc>
          <w:tcPr>
            <w:tcW w:w="1240" w:type="dxa"/>
            <w:vAlign w:val="bottom"/>
            <w:shd w:val="clear" w:color="auto" w:fill="D9D9D9"/>
          </w:tcPr>
          <w:p>
            <w:pPr>
              <w:jc w:val="center"/>
              <w:ind w:right="420"/>
              <w:spacing w:after="0"/>
              <w:rPr>
                <w:sz w:val="20"/>
                <w:szCs w:val="20"/>
                <w:color w:val="auto"/>
              </w:rPr>
            </w:pPr>
            <w:r>
              <w:rPr>
                <w:rFonts w:ascii="Arial" w:cs="Arial" w:eastAsia="Arial" w:hAnsi="Arial"/>
                <w:sz w:val="12"/>
                <w:szCs w:val="12"/>
                <w:color w:val="auto"/>
              </w:rPr>
              <w:t>642,500</w:t>
            </w: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08" w:hanging="308"/>
        <w:spacing w:after="0"/>
        <w:tabs>
          <w:tab w:leader="none" w:pos="3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shares of restricted stock that vested and were distributed during fiscal 2026.</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value realized is calculated by multiplying the closing price of our common stock on the Nasdaq Global Select Market on the vesting date by the shares of restricted stock that became vested.</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Nolan was appointed Chief Executive Officer and Executive Chair of the Board as of the close of business on October 31, 2025, during fiscal 2026.</w:t>
      </w:r>
    </w:p>
    <w:p>
      <w:pPr>
        <w:spacing w:after="0" w:line="78" w:lineRule="exact"/>
        <w:rPr>
          <w:rFonts w:ascii="Arial" w:cs="Arial" w:eastAsia="Arial" w:hAnsi="Arial"/>
          <w:sz w:val="12"/>
          <w:szCs w:val="12"/>
          <w:color w:val="auto"/>
        </w:rPr>
      </w:pPr>
    </w:p>
    <w:p>
      <w:pPr>
        <w:ind w:left="328" w:right="20" w:hanging="328"/>
        <w:spacing w:after="0" w:line="286" w:lineRule="auto"/>
        <w:tabs>
          <w:tab w:leader="none" w:pos="322"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Silberhorn separated from the Company on October 31, 2025, during fiscal 2026, and the shares acquired on vesting includes accelerated vesting on 78,376 restricted stock awards and 16,867 performance shares.</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Osberg resigned from the Company effective January 16, 2026, during fiscal 2026.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5445E"/>
        </w:rPr>
        <w:t>Non-Qualified Deferred Compensation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Deferred Compensation Plan</w:t>
      </w:r>
    </w:p>
    <w:p>
      <w:pPr>
        <w:spacing w:after="0" w:line="150"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Our Deferred Compensation Plan is a non-qualified deferred compensation plan for a select group of management and other highly compensated employees of our Company and our subsidiaries, including our Named Executive Officers. For the 2025, 2024 and 2023 calendar years, approximately 137, 136 and 145 of our employees, respectively, were eligible to participate in our Deferred Compensation Plan and approximately 138 employees are eligible for the 2026 calendar year. Our Deferred Compensation Plan allows for deferrals by participants of up to 75% of base salary and sales commissions, and up to 100% of bonuses and other cash or equity-based compensation approved by the Compensation Committee, and also provides that we may establish rules permitting a participant to defer performance-based compensation up to six months prior to the end of a performance period. There is no maximum dollar limit on the amount that may be deferred by a participant each year. A participant in our Deferred Compensation Plan may elect to have the participant's account credited with earnings and investment gains and losses by assuming that deferred amounts were invested in one or more of 18 hypothetical investment fund options selected by the participant, which had investment returns ranging from 3.11% to 41.04% for calendar year 2025. An Apogee common stock fund is not one of the investment options available under our Deferred Compensation Plan. Participants are permitted to change their investment elections at any time. We may also make discretionary contributions to a participant's account under our Deferred Compensation Plan, and our Company will designate a vesting schedule for each such contribution. The participants are always 100% vested in the amount they defer, and the earnings, gains and losses credited to their accounts. Participants are entitled to receive a distribution from their account upon:</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45" w:right="299" w:bottom="1440" w:gutter="0" w:footer="0" w:header="0"/>
        </w:sectPr>
      </w:pPr>
    </w:p>
    <w:bookmarkStart w:id="64" w:name="page65"/>
    <w:bookmarkEnd w:id="64"/>
    <w:p>
      <w:pPr>
        <w:jc w:val="both"/>
        <w:spacing w:after="0" w:line="268" w:lineRule="auto"/>
        <w:rPr>
          <w:sz w:val="20"/>
          <w:szCs w:val="20"/>
          <w:color w:val="auto"/>
        </w:rPr>
      </w:pPr>
      <w:r>
        <w:rPr>
          <w:rFonts w:ascii="Arial" w:cs="Arial" w:eastAsia="Arial" w:hAnsi="Arial"/>
          <w:sz w:val="12"/>
          <w:szCs w:val="12"/>
          <w:color w:val="auto"/>
        </w:rPr>
        <w:t>a separation from service, a specified date, death, disability, retirement (as defined in our Deferred Compensation Plan), or unforeseeable emergency that results in "severe financial hardship" that is consistent with the meaning of such term under Section 409A of the Internal Revenue Code. Distributions are in a lump sum, installments or a combination of lump sum with installments based upon the participant's election as allowed under our Deferred Compensation Plan. Our Deferred Compensation Plan is an unfunded obligation of Apogee, and participants are unsecured creditors of Apogee.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Legacy Deferred Compensation Plan</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Deferred Incentive Compensation Plan (the "Legacy Deferred Compensation Plan") is a non-qualified deferred compensation plan for a select group of management and other highly compensated employees of our Company and our subsidiaries; however, in October 2010, the plan was amended to prohibit any future participant deferrals to the plan after our fiscal 2011. Our Legacy Deferred Compensation Plan allowed for deferrals by participants of up to 100% of bonuses. A participant in our Legacy Deferred Compensation Plan may elect to have the participant's account credited with the applicable interest rate as set forth in the plan or credited with earnings and investment gains and losses by assuming the deferred amounts were invested in one or more of 18 hypothetical investment fund options selected by the participant, which had investment returns ranging from 3.11% to 41.04% for calendar year 2025. Participants are permitted to change their investment elections at any time. For amounts deferred for plan years beginning on or after January 1, 2010, the applicable interest rate, which is not considered to be an “above-market” interest rate, is the monthly average yield for the last calendar month of the prior fiscal year on U.S. Treasury securities adjusted to a constant maturity of 10 years. For amounts deferred for plan years beginning prior to January 1, 2010, the applicable interest rate, which may be considered to be an “above-market” interest rate, is the greater of the following rates: (i) the sum of one and one-half percent (1- 1/2%) plus the monthly average yield for the last calendar month of the prior fiscal year on U.S. Treasury securities adjusted to a constant maturity of 10 years; or (ii) one-half of the rate of Apogee's after-tax return on beginning shareholders' equity for the prior fiscal year. Participants are entitled to receive a distribution from their account upon termination of employment (as defined in our Legacy Deferred Compensation Plan), disability, death, retirement (as defined in our Legacy Deferred Compensation Plan), or unforeseeable emergency that results in “severe financial hardship” that is consistent with the meaning of such term under Section 409A of the Internal Revenue Code. Distributions are in either a lump sum or installments based on participant elections as allowed under our Legacy Deferred Compensation Plan. Our Legacy Deferred Compensation Plan is an unfunded obligation of Apogee, and participants are unsecured creditors of Apogee.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Non-Qualified Deferred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provides information on our Named Executive Officers' compensation earned with respect to fiscal 2026 and deferred under our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65" w:name="page66"/>
    <w:bookmarkEnd w:id="65"/>
    <w:p>
      <w:pPr>
        <w:jc w:val="center"/>
        <w:ind w:right="212"/>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443230</wp:posOffset>
            </wp:positionV>
            <wp:extent cx="704659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46595" cy="5715"/>
                    </a:xfrm>
                    <a:prstGeom prst="rect">
                      <a:avLst/>
                    </a:prstGeom>
                    <a:noFill/>
                  </pic:spPr>
                </pic:pic>
              </a:graphicData>
            </a:graphic>
          </wp:anchor>
        </w:drawing>
        <w:t>Fiscal 2026 Non-Qualified Deferred Compensation</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05"/>
        </w:trPr>
        <w:tc>
          <w:tcPr>
            <w:tcW w:w="14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05445E"/>
              </w:rPr>
              <w:t>Change in Pension Value and</w:t>
            </w:r>
          </w:p>
        </w:tc>
        <w:tc>
          <w:tcPr>
            <w:tcW w:w="13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8"/>
                <w:szCs w:val="8"/>
                <w:b w:val="1"/>
                <w:bCs w:val="1"/>
                <w:color w:val="05445E"/>
              </w:rPr>
              <w:t>Executive Contributions</w:t>
            </w:r>
          </w:p>
        </w:tc>
        <w:tc>
          <w:tcPr>
            <w:tcW w:w="1560" w:type="dxa"/>
            <w:vAlign w:val="bottom"/>
            <w:gridSpan w:val="2"/>
          </w:tcPr>
          <w:p>
            <w:pPr>
              <w:jc w:val="center"/>
              <w:ind w:right="60"/>
              <w:spacing w:after="0"/>
              <w:rPr>
                <w:sz w:val="20"/>
                <w:szCs w:val="20"/>
                <w:color w:val="auto"/>
              </w:rPr>
            </w:pPr>
            <w:r>
              <w:rPr>
                <w:rFonts w:ascii="Arial" w:cs="Arial" w:eastAsia="Arial" w:hAnsi="Arial"/>
                <w:sz w:val="8"/>
                <w:szCs w:val="8"/>
                <w:b w:val="1"/>
                <w:bCs w:val="1"/>
                <w:color w:val="05445E"/>
              </w:rPr>
              <w:t>Registrant Contributions</w:t>
            </w:r>
          </w:p>
        </w:tc>
        <w:tc>
          <w:tcPr>
            <w:tcW w:w="14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Aggregate Earnings</w:t>
            </w: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jc w:val="center"/>
              <w:spacing w:after="0"/>
              <w:rPr>
                <w:sz w:val="20"/>
                <w:szCs w:val="20"/>
                <w:color w:val="auto"/>
              </w:rPr>
            </w:pPr>
            <w:r>
              <w:rPr>
                <w:rFonts w:ascii="Arial" w:cs="Arial" w:eastAsia="Arial" w:hAnsi="Arial"/>
                <w:sz w:val="8"/>
                <w:szCs w:val="8"/>
                <w:b w:val="1"/>
                <w:bCs w:val="1"/>
                <w:color w:val="05445E"/>
              </w:rPr>
              <w:t>Aggregate Balance</w:t>
            </w: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8"/>
                <w:szCs w:val="8"/>
                <w:b w:val="1"/>
                <w:bCs w:val="1"/>
                <w:color w:val="05445E"/>
              </w:rPr>
              <w:t>in</w:t>
            </w:r>
          </w:p>
        </w:tc>
        <w:tc>
          <w:tcPr>
            <w:tcW w:w="15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in</w:t>
            </w:r>
          </w:p>
        </w:tc>
        <w:tc>
          <w:tcPr>
            <w:tcW w:w="14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w w:val="83"/>
              </w:rPr>
              <w:t>in</w:t>
            </w: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jc w:val="center"/>
              <w:spacing w:after="0"/>
              <w:rPr>
                <w:sz w:val="20"/>
                <w:szCs w:val="20"/>
                <w:color w:val="auto"/>
              </w:rPr>
            </w:pPr>
            <w:r>
              <w:rPr>
                <w:rFonts w:ascii="Arial" w:cs="Arial" w:eastAsia="Arial" w:hAnsi="Arial"/>
                <w:sz w:val="8"/>
                <w:szCs w:val="8"/>
                <w:b w:val="1"/>
                <w:bCs w:val="1"/>
                <w:color w:val="05445E"/>
              </w:rPr>
              <w:t>at</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Last</w:t>
            </w:r>
          </w:p>
        </w:tc>
        <w:tc>
          <w:tcPr>
            <w:tcW w:w="1560" w:type="dxa"/>
            <w:vAlign w:val="bottom"/>
            <w:gridSpan w:val="2"/>
          </w:tcPr>
          <w:p>
            <w:pPr>
              <w:jc w:val="center"/>
              <w:ind w:right="60"/>
              <w:spacing w:after="0"/>
              <w:rPr>
                <w:sz w:val="20"/>
                <w:szCs w:val="20"/>
                <w:color w:val="auto"/>
              </w:rPr>
            </w:pPr>
            <w:r>
              <w:rPr>
                <w:rFonts w:ascii="Arial" w:cs="Arial" w:eastAsia="Arial" w:hAnsi="Arial"/>
                <w:sz w:val="8"/>
                <w:szCs w:val="8"/>
                <w:b w:val="1"/>
                <w:bCs w:val="1"/>
                <w:color w:val="05445E"/>
              </w:rPr>
              <w:t>Last</w:t>
            </w:r>
          </w:p>
        </w:tc>
        <w:tc>
          <w:tcPr>
            <w:tcW w:w="14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Last</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05445E"/>
              </w:rPr>
              <w:t>Aggregate</w:t>
            </w:r>
          </w:p>
        </w:tc>
        <w:tc>
          <w:tcPr>
            <w:tcW w:w="1480" w:type="dxa"/>
            <w:vAlign w:val="bottom"/>
          </w:tcPr>
          <w:p>
            <w:pPr>
              <w:jc w:val="center"/>
              <w:spacing w:after="0"/>
              <w:rPr>
                <w:sz w:val="20"/>
                <w:szCs w:val="20"/>
                <w:color w:val="auto"/>
              </w:rPr>
            </w:pPr>
            <w:r>
              <w:rPr>
                <w:rFonts w:ascii="Arial" w:cs="Arial" w:eastAsia="Arial" w:hAnsi="Arial"/>
                <w:sz w:val="8"/>
                <w:szCs w:val="8"/>
                <w:b w:val="1"/>
                <w:bCs w:val="1"/>
                <w:color w:val="05445E"/>
              </w:rPr>
              <w:t>Last</w:t>
            </w: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gridSpan w:val="2"/>
          </w:tcPr>
          <w:p>
            <w:pPr>
              <w:jc w:val="center"/>
              <w:ind w:right="60"/>
              <w:spacing w:after="0" w:line="90" w:lineRule="exact"/>
              <w:rPr>
                <w:sz w:val="20"/>
                <w:szCs w:val="20"/>
                <w:color w:val="auto"/>
              </w:rPr>
            </w:pPr>
            <w:r>
              <w:rPr>
                <w:rFonts w:ascii="Arial" w:cs="Arial" w:eastAsia="Arial" w:hAnsi="Arial"/>
                <w:sz w:val="8"/>
                <w:szCs w:val="8"/>
                <w:b w:val="1"/>
                <w:bCs w:val="1"/>
                <w:color w:val="05445E"/>
              </w:rPr>
              <w:t>Fiscal</w:t>
            </w:r>
          </w:p>
        </w:tc>
        <w:tc>
          <w:tcPr>
            <w:tcW w:w="1560" w:type="dxa"/>
            <w:vAlign w:val="bottom"/>
            <w:gridSpan w:val="2"/>
          </w:tcPr>
          <w:p>
            <w:pPr>
              <w:jc w:val="center"/>
              <w:ind w:right="80"/>
              <w:spacing w:after="0" w:line="90" w:lineRule="exact"/>
              <w:rPr>
                <w:sz w:val="20"/>
                <w:szCs w:val="20"/>
                <w:color w:val="auto"/>
              </w:rPr>
            </w:pPr>
            <w:r>
              <w:rPr>
                <w:rFonts w:ascii="Arial" w:cs="Arial" w:eastAsia="Arial" w:hAnsi="Arial"/>
                <w:sz w:val="8"/>
                <w:szCs w:val="8"/>
                <w:b w:val="1"/>
                <w:bCs w:val="1"/>
                <w:color w:val="05445E"/>
              </w:rPr>
              <w:t>Fiscal</w:t>
            </w:r>
          </w:p>
        </w:tc>
        <w:tc>
          <w:tcPr>
            <w:tcW w:w="1460" w:type="dxa"/>
            <w:vAlign w:val="bottom"/>
            <w:gridSpan w:val="2"/>
          </w:tcPr>
          <w:p>
            <w:pPr>
              <w:jc w:val="center"/>
              <w:ind w:right="80"/>
              <w:spacing w:after="0" w:line="90" w:lineRule="exact"/>
              <w:rPr>
                <w:sz w:val="20"/>
                <w:szCs w:val="20"/>
                <w:color w:val="auto"/>
              </w:rPr>
            </w:pPr>
            <w:r>
              <w:rPr>
                <w:rFonts w:ascii="Arial" w:cs="Arial" w:eastAsia="Arial" w:hAnsi="Arial"/>
                <w:sz w:val="8"/>
                <w:szCs w:val="8"/>
                <w:b w:val="1"/>
                <w:bCs w:val="1"/>
                <w:color w:val="05445E"/>
                <w:w w:val="96"/>
              </w:rPr>
              <w:t>Fiscal</w:t>
            </w:r>
          </w:p>
        </w:tc>
        <w:tc>
          <w:tcPr>
            <w:tcW w:w="1440" w:type="dxa"/>
            <w:vAlign w:val="bottom"/>
            <w:gridSpan w:val="2"/>
            <w:vMerge w:val="continue"/>
          </w:tcPr>
          <w:p>
            <w:pPr>
              <w:spacing w:after="0"/>
              <w:rPr>
                <w:sz w:val="7"/>
                <w:szCs w:val="7"/>
                <w:color w:val="auto"/>
              </w:rPr>
            </w:pPr>
          </w:p>
        </w:tc>
        <w:tc>
          <w:tcPr>
            <w:tcW w:w="1480" w:type="dxa"/>
            <w:vAlign w:val="bottom"/>
          </w:tcPr>
          <w:p>
            <w:pPr>
              <w:jc w:val="center"/>
              <w:spacing w:after="0" w:line="90" w:lineRule="exact"/>
              <w:rPr>
                <w:sz w:val="20"/>
                <w:szCs w:val="20"/>
                <w:color w:val="auto"/>
              </w:rPr>
            </w:pPr>
            <w:r>
              <w:rPr>
                <w:rFonts w:ascii="Arial" w:cs="Arial" w:eastAsia="Arial" w:hAnsi="Arial"/>
                <w:sz w:val="8"/>
                <w:szCs w:val="8"/>
                <w:b w:val="1"/>
                <w:bCs w:val="1"/>
                <w:color w:val="05445E"/>
              </w:rPr>
              <w:t>Fiscal</w:t>
            </w: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Year</w:t>
            </w:r>
          </w:p>
        </w:tc>
        <w:tc>
          <w:tcPr>
            <w:tcW w:w="1560" w:type="dxa"/>
            <w:vAlign w:val="bottom"/>
            <w:gridSpan w:val="2"/>
          </w:tcPr>
          <w:p>
            <w:pPr>
              <w:jc w:val="center"/>
              <w:ind w:right="60"/>
              <w:spacing w:after="0"/>
              <w:rPr>
                <w:sz w:val="20"/>
                <w:szCs w:val="20"/>
                <w:color w:val="auto"/>
              </w:rPr>
            </w:pPr>
            <w:r>
              <w:rPr>
                <w:rFonts w:ascii="Arial" w:cs="Arial" w:eastAsia="Arial" w:hAnsi="Arial"/>
                <w:sz w:val="8"/>
                <w:szCs w:val="8"/>
                <w:b w:val="1"/>
                <w:bCs w:val="1"/>
                <w:color w:val="05445E"/>
              </w:rPr>
              <w:t>Year</w:t>
            </w:r>
          </w:p>
        </w:tc>
        <w:tc>
          <w:tcPr>
            <w:tcW w:w="146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Year</w:t>
            </w:r>
          </w:p>
        </w:tc>
        <w:tc>
          <w:tcPr>
            <w:tcW w:w="1440" w:type="dxa"/>
            <w:vAlign w:val="bottom"/>
            <w:gridSpan w:val="2"/>
          </w:tcPr>
          <w:p>
            <w:pPr>
              <w:jc w:val="center"/>
              <w:ind w:right="80"/>
              <w:spacing w:after="0"/>
              <w:rPr>
                <w:sz w:val="20"/>
                <w:szCs w:val="20"/>
                <w:color w:val="auto"/>
              </w:rPr>
            </w:pPr>
            <w:r>
              <w:rPr>
                <w:rFonts w:ascii="Arial" w:cs="Arial" w:eastAsia="Arial" w:hAnsi="Arial"/>
                <w:sz w:val="8"/>
                <w:szCs w:val="8"/>
                <w:b w:val="1"/>
                <w:bCs w:val="1"/>
                <w:color w:val="05445E"/>
              </w:rPr>
              <w:t>Withdrawals/Distributions</w:t>
            </w:r>
          </w:p>
        </w:tc>
        <w:tc>
          <w:tcPr>
            <w:tcW w:w="1480" w:type="dxa"/>
            <w:vAlign w:val="bottom"/>
          </w:tcPr>
          <w:p>
            <w:pPr>
              <w:jc w:val="center"/>
              <w:spacing w:after="0"/>
              <w:rPr>
                <w:sz w:val="20"/>
                <w:szCs w:val="20"/>
                <w:color w:val="auto"/>
              </w:rPr>
            </w:pPr>
            <w:r>
              <w:rPr>
                <w:rFonts w:ascii="Arial" w:cs="Arial" w:eastAsia="Arial" w:hAnsi="Arial"/>
                <w:sz w:val="8"/>
                <w:szCs w:val="8"/>
                <w:b w:val="1"/>
                <w:bCs w:val="1"/>
                <w:color w:val="05445E"/>
              </w:rPr>
              <w:t>Year End</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05445E"/>
              </w:rPr>
              <w:t>Name</w:t>
            </w:r>
          </w:p>
        </w:tc>
        <w:tc>
          <w:tcPr>
            <w:tcW w:w="80" w:type="dxa"/>
            <w:vAlign w:val="bottom"/>
            <w:tcBorders>
              <w:bottom w:val="single" w:sz="8" w:color="DBDBDB"/>
            </w:tcBorders>
          </w:tcPr>
          <w:p>
            <w:pPr>
              <w:spacing w:after="0"/>
              <w:rPr>
                <w:sz w:val="12"/>
                <w:szCs w:val="12"/>
                <w:color w:val="auto"/>
              </w:rPr>
            </w:pPr>
          </w:p>
        </w:tc>
        <w:tc>
          <w:tcPr>
            <w:tcW w:w="1860" w:type="dxa"/>
            <w:vAlign w:val="bottom"/>
            <w:tcBorders>
              <w:bottom w:val="single" w:sz="8" w:color="auto"/>
            </w:tcBorders>
          </w:tcPr>
          <w:p>
            <w:pPr>
              <w:ind w:left="660"/>
              <w:spacing w:after="0"/>
              <w:rPr>
                <w:sz w:val="20"/>
                <w:szCs w:val="20"/>
                <w:color w:val="auto"/>
              </w:rPr>
            </w:pPr>
            <w:r>
              <w:rPr>
                <w:rFonts w:ascii="Arial" w:cs="Arial" w:eastAsia="Arial" w:hAnsi="Arial"/>
                <w:sz w:val="8"/>
                <w:szCs w:val="8"/>
                <w:b w:val="1"/>
                <w:bCs w:val="1"/>
                <w:color w:val="05445E"/>
              </w:rPr>
              <w:t>Name of Plan</w:t>
            </w:r>
          </w:p>
        </w:tc>
        <w:tc>
          <w:tcPr>
            <w:tcW w:w="80" w:type="dxa"/>
            <w:vAlign w:val="bottom"/>
            <w:tcBorders>
              <w:bottom w:val="single" w:sz="8" w:color="DBDBDB"/>
            </w:tcBorders>
          </w:tcPr>
          <w:p>
            <w:pPr>
              <w:spacing w:after="0"/>
              <w:rPr>
                <w:sz w:val="12"/>
                <w:szCs w:val="12"/>
                <w:color w:val="auto"/>
              </w:rPr>
            </w:pPr>
          </w:p>
        </w:tc>
        <w:tc>
          <w:tcPr>
            <w:tcW w:w="1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6"/>
                <w:szCs w:val="16"/>
                <w:b w:val="1"/>
                <w:bCs w:val="1"/>
                <w:color w:val="05445E"/>
                <w:w w:val="94"/>
                <w:vertAlign w:val="subscript"/>
              </w:rPr>
              <w:t>($)</w:t>
            </w:r>
            <w:r>
              <w:rPr>
                <w:rFonts w:ascii="Arial" w:cs="Arial" w:eastAsia="Arial" w:hAnsi="Arial"/>
                <w:sz w:val="5"/>
                <w:szCs w:val="5"/>
                <w:b w:val="1"/>
                <w:bCs w:val="1"/>
                <w:color w:val="05445E"/>
                <w:w w:val="94"/>
              </w:rPr>
              <w:t>(1)(2)</w:t>
            </w:r>
          </w:p>
        </w:tc>
        <w:tc>
          <w:tcPr>
            <w:tcW w:w="80" w:type="dxa"/>
            <w:vAlign w:val="bottom"/>
            <w:tcBorders>
              <w:bottom w:val="single" w:sz="8" w:color="DBDBDB"/>
            </w:tcBorders>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05445E"/>
              </w:rPr>
              <w:t>($)</w:t>
            </w:r>
          </w:p>
        </w:tc>
        <w:tc>
          <w:tcPr>
            <w:tcW w:w="80" w:type="dxa"/>
            <w:vAlign w:val="bottom"/>
            <w:tcBorders>
              <w:bottom w:val="single" w:sz="8" w:color="DBDBDB"/>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05445E"/>
              </w:rPr>
              <w:t>($)</w:t>
            </w:r>
            <w:r>
              <w:rPr>
                <w:rFonts w:ascii="Arial" w:cs="Arial" w:eastAsia="Arial" w:hAnsi="Arial"/>
                <w:sz w:val="10"/>
                <w:szCs w:val="10"/>
                <w:b w:val="1"/>
                <w:bCs w:val="1"/>
                <w:color w:val="05445E"/>
                <w:vertAlign w:val="superscript"/>
              </w:rPr>
              <w:t>(3)</w:t>
            </w:r>
          </w:p>
        </w:tc>
        <w:tc>
          <w:tcPr>
            <w:tcW w:w="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05445E"/>
                <w:w w:val="88"/>
              </w:rPr>
              <w:t>($)</w:t>
            </w:r>
            <w:r>
              <w:rPr>
                <w:rFonts w:ascii="Arial" w:cs="Arial" w:eastAsia="Arial" w:hAnsi="Arial"/>
                <w:sz w:val="10"/>
                <w:szCs w:val="10"/>
                <w:b w:val="1"/>
                <w:bCs w:val="1"/>
                <w:color w:val="05445E"/>
                <w:w w:val="88"/>
                <w:vertAlign w:val="superscript"/>
              </w:rPr>
              <w:t>(3)</w:t>
            </w:r>
          </w:p>
        </w:tc>
        <w:tc>
          <w:tcPr>
            <w:tcW w:w="80" w:type="dxa"/>
            <w:vAlign w:val="bottom"/>
            <w:tcBorders>
              <w:bottom w:val="single" w:sz="8" w:color="DBDBDB"/>
            </w:tcBorders>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05445E"/>
              </w:rPr>
              <w:t>($)</w:t>
            </w:r>
          </w:p>
        </w:tc>
        <w:tc>
          <w:tcPr>
            <w:tcW w:w="0" w:type="dxa"/>
            <w:vAlign w:val="bottom"/>
          </w:tcPr>
          <w:p>
            <w:pPr>
              <w:spacing w:after="0"/>
              <w:rPr>
                <w:sz w:val="1"/>
                <w:szCs w:val="1"/>
                <w:color w:val="auto"/>
              </w:rPr>
            </w:pPr>
          </w:p>
        </w:tc>
      </w:tr>
      <w:tr>
        <w:trPr>
          <w:trHeight w:val="94"/>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Donald</w:t>
            </w:r>
          </w:p>
        </w:tc>
        <w:tc>
          <w:tcPr>
            <w:tcW w:w="80" w:type="dxa"/>
            <w:vAlign w:val="bottom"/>
            <w:shd w:val="clear" w:color="auto" w:fill="DBDBDB"/>
          </w:tcPr>
          <w:p>
            <w:pPr>
              <w:spacing w:after="0"/>
              <w:rPr>
                <w:sz w:val="8"/>
                <w:szCs w:val="8"/>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Deferred Compensation</w:t>
            </w:r>
          </w:p>
        </w:tc>
        <w:tc>
          <w:tcPr>
            <w:tcW w:w="1660" w:type="dxa"/>
            <w:vAlign w:val="bottom"/>
            <w:gridSpan w:val="2"/>
            <w:vMerge w:val="restart"/>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56"/>
        </w:trPr>
        <w:tc>
          <w:tcPr>
            <w:tcW w:w="1460" w:type="dxa"/>
            <w:vAlign w:val="bottom"/>
            <w:vMerge w:val="restart"/>
            <w:shd w:val="clear" w:color="auto" w:fill="DBDBDB"/>
          </w:tcPr>
          <w:p>
            <w:pPr>
              <w:spacing w:after="0"/>
              <w:rPr>
                <w:sz w:val="20"/>
                <w:szCs w:val="20"/>
                <w:color w:val="auto"/>
              </w:rPr>
            </w:pPr>
            <w:r>
              <w:rPr>
                <w:rFonts w:ascii="Arial" w:cs="Arial" w:eastAsia="Arial" w:hAnsi="Arial"/>
                <w:sz w:val="8"/>
                <w:szCs w:val="8"/>
                <w:color w:val="auto"/>
              </w:rPr>
              <w:t>A.</w:t>
            </w: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660" w:type="dxa"/>
            <w:vAlign w:val="bottom"/>
            <w:gridSpan w:val="2"/>
            <w:vMerge w:val="continue"/>
            <w:shd w:val="clear" w:color="auto" w:fill="DBDBDB"/>
          </w:tcPr>
          <w:p>
            <w:pPr>
              <w:spacing w:after="0"/>
              <w:rPr>
                <w:sz w:val="4"/>
                <w:szCs w:val="4"/>
                <w:color w:val="auto"/>
              </w:rPr>
            </w:pPr>
          </w:p>
        </w:tc>
        <w:tc>
          <w:tcPr>
            <w:tcW w:w="1560" w:type="dxa"/>
            <w:vAlign w:val="bottom"/>
            <w:gridSpan w:val="2"/>
            <w:vMerge w:val="continue"/>
            <w:shd w:val="clear" w:color="auto" w:fill="DBDBDB"/>
          </w:tcPr>
          <w:p>
            <w:pPr>
              <w:spacing w:after="0"/>
              <w:rPr>
                <w:sz w:val="4"/>
                <w:szCs w:val="4"/>
                <w:color w:val="auto"/>
              </w:rPr>
            </w:pPr>
          </w:p>
        </w:tc>
        <w:tc>
          <w:tcPr>
            <w:tcW w:w="1460" w:type="dxa"/>
            <w:vAlign w:val="bottom"/>
            <w:gridSpan w:val="2"/>
            <w:vMerge w:val="continue"/>
            <w:shd w:val="clear" w:color="auto" w:fill="DBDBDB"/>
          </w:tcPr>
          <w:p>
            <w:pPr>
              <w:spacing w:after="0"/>
              <w:rPr>
                <w:sz w:val="4"/>
                <w:szCs w:val="4"/>
                <w:color w:val="auto"/>
              </w:rPr>
            </w:pPr>
          </w:p>
        </w:tc>
        <w:tc>
          <w:tcPr>
            <w:tcW w:w="1440" w:type="dxa"/>
            <w:vAlign w:val="bottom"/>
            <w:gridSpan w:val="2"/>
            <w:vMerge w:val="continue"/>
            <w:shd w:val="clear" w:color="auto" w:fill="DBDBDB"/>
          </w:tcPr>
          <w:p>
            <w:pPr>
              <w:spacing w:after="0"/>
              <w:rPr>
                <w:sz w:val="4"/>
                <w:szCs w:val="4"/>
                <w:color w:val="auto"/>
              </w:rPr>
            </w:pPr>
          </w:p>
        </w:tc>
        <w:tc>
          <w:tcPr>
            <w:tcW w:w="14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5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Nolan</w:t>
            </w:r>
          </w:p>
        </w:tc>
        <w:tc>
          <w:tcPr>
            <w:tcW w:w="80" w:type="dxa"/>
            <w:vAlign w:val="bottom"/>
            <w:shd w:val="clear" w:color="auto" w:fill="DBDBDB"/>
          </w:tcPr>
          <w:p>
            <w:pPr>
              <w:spacing w:after="0"/>
              <w:rPr>
                <w:sz w:val="13"/>
                <w:szCs w:val="13"/>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1460" w:type="dxa"/>
            <w:vAlign w:val="bottom"/>
          </w:tcPr>
          <w:p>
            <w:pPr>
              <w:spacing w:after="0"/>
              <w:rPr>
                <w:sz w:val="20"/>
                <w:szCs w:val="20"/>
                <w:color w:val="auto"/>
              </w:rPr>
            </w:pPr>
            <w:r>
              <w:rPr>
                <w:rFonts w:ascii="Arial" w:cs="Arial" w:eastAsia="Arial" w:hAnsi="Arial"/>
                <w:sz w:val="8"/>
                <w:szCs w:val="8"/>
                <w:color w:val="auto"/>
              </w:rPr>
              <w:t>Mark</w:t>
            </w:r>
          </w:p>
        </w:tc>
        <w:tc>
          <w:tcPr>
            <w:tcW w:w="80" w:type="dxa"/>
            <w:vAlign w:val="bottom"/>
          </w:tcPr>
          <w:p>
            <w:pPr>
              <w:spacing w:after="0"/>
              <w:rPr>
                <w:sz w:val="9"/>
                <w:szCs w:val="9"/>
                <w:color w:val="auto"/>
              </w:rPr>
            </w:pPr>
          </w:p>
        </w:tc>
        <w:tc>
          <w:tcPr>
            <w:tcW w:w="1940" w:type="dxa"/>
            <w:vAlign w:val="bottom"/>
            <w:gridSpan w:val="2"/>
          </w:tcPr>
          <w:p>
            <w:pPr>
              <w:ind w:left="20"/>
              <w:spacing w:after="0"/>
              <w:rPr>
                <w:sz w:val="20"/>
                <w:szCs w:val="20"/>
                <w:color w:val="auto"/>
              </w:rPr>
            </w:pPr>
            <w:r>
              <w:rPr>
                <w:rFonts w:ascii="Arial" w:cs="Arial" w:eastAsia="Arial" w:hAnsi="Arial"/>
                <w:sz w:val="8"/>
                <w:szCs w:val="8"/>
                <w:color w:val="auto"/>
              </w:rPr>
              <w:t>Deferred Compensation</w:t>
            </w:r>
          </w:p>
        </w:tc>
        <w:tc>
          <w:tcPr>
            <w:tcW w:w="1580" w:type="dxa"/>
            <w:vAlign w:val="bottom"/>
            <w:vMerge w:val="restart"/>
          </w:tcPr>
          <w:p>
            <w:pPr>
              <w:jc w:val="center"/>
              <w:spacing w:after="0"/>
              <w:rPr>
                <w:sz w:val="20"/>
                <w:szCs w:val="20"/>
                <w:color w:val="auto"/>
              </w:rPr>
            </w:pPr>
            <w:r>
              <w:rPr>
                <w:rFonts w:ascii="Arial" w:cs="Arial" w:eastAsia="Arial" w:hAnsi="Arial"/>
                <w:sz w:val="8"/>
                <w:szCs w:val="8"/>
                <w:color w:val="auto"/>
              </w:rPr>
              <w:t>37,365</w:t>
            </w:r>
          </w:p>
        </w:tc>
        <w:tc>
          <w:tcPr>
            <w:tcW w:w="80" w:type="dxa"/>
            <w:vAlign w:val="bottom"/>
          </w:tcPr>
          <w:p>
            <w:pPr>
              <w:spacing w:after="0"/>
              <w:rPr>
                <w:sz w:val="9"/>
                <w:szCs w:val="9"/>
                <w:color w:val="auto"/>
              </w:rPr>
            </w:pP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tcPr>
          <w:p>
            <w:pPr>
              <w:jc w:val="center"/>
              <w:spacing w:after="0"/>
              <w:rPr>
                <w:sz w:val="20"/>
                <w:szCs w:val="20"/>
                <w:color w:val="auto"/>
              </w:rPr>
            </w:pPr>
            <w:r>
              <w:rPr>
                <w:rFonts w:ascii="Arial" w:cs="Arial" w:eastAsia="Arial" w:hAnsi="Arial"/>
                <w:sz w:val="8"/>
                <w:szCs w:val="8"/>
                <w:color w:val="auto"/>
              </w:rPr>
              <w:t>1,062,794</w:t>
            </w:r>
          </w:p>
        </w:tc>
        <w:tc>
          <w:tcPr>
            <w:tcW w:w="0" w:type="dxa"/>
            <w:vAlign w:val="bottom"/>
          </w:tcPr>
          <w:p>
            <w:pPr>
              <w:spacing w:after="0"/>
              <w:rPr>
                <w:sz w:val="1"/>
                <w:szCs w:val="1"/>
                <w:color w:val="auto"/>
              </w:rPr>
            </w:pPr>
          </w:p>
        </w:tc>
      </w:tr>
      <w:tr>
        <w:trPr>
          <w:trHeight w:val="56"/>
        </w:trPr>
        <w:tc>
          <w:tcPr>
            <w:tcW w:w="1460" w:type="dxa"/>
            <w:vAlign w:val="bottom"/>
            <w:vMerge w:val="restart"/>
          </w:tcPr>
          <w:p>
            <w:pPr>
              <w:spacing w:after="0"/>
              <w:rPr>
                <w:sz w:val="20"/>
                <w:szCs w:val="20"/>
                <w:color w:val="auto"/>
              </w:rPr>
            </w:pPr>
            <w:r>
              <w:rPr>
                <w:rFonts w:ascii="Arial" w:cs="Arial" w:eastAsia="Arial" w:hAnsi="Arial"/>
                <w:sz w:val="8"/>
                <w:szCs w:val="8"/>
                <w:color w:val="auto"/>
              </w:rPr>
              <w:t>R.</w:t>
            </w: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460" w:type="dxa"/>
            <w:vAlign w:val="bottom"/>
          </w:tcPr>
          <w:p>
            <w:pPr>
              <w:spacing w:after="0"/>
              <w:rPr>
                <w:sz w:val="20"/>
                <w:szCs w:val="20"/>
                <w:color w:val="auto"/>
              </w:rPr>
            </w:pPr>
            <w:r>
              <w:rPr>
                <w:rFonts w:ascii="Arial" w:cs="Arial" w:eastAsia="Arial" w:hAnsi="Arial"/>
                <w:sz w:val="8"/>
                <w:szCs w:val="8"/>
                <w:color w:val="auto"/>
              </w:rPr>
              <w:t>Augdahl</w:t>
            </w:r>
          </w:p>
        </w:tc>
        <w:tc>
          <w:tcPr>
            <w:tcW w:w="80" w:type="dxa"/>
            <w:vAlign w:val="bottom"/>
          </w:tcPr>
          <w:p>
            <w:pPr>
              <w:spacing w:after="0"/>
              <w:rPr>
                <w:sz w:val="12"/>
                <w:szCs w:val="12"/>
                <w:color w:val="auto"/>
              </w:rPr>
            </w:pPr>
          </w:p>
        </w:tc>
        <w:tc>
          <w:tcPr>
            <w:tcW w:w="1940" w:type="dxa"/>
            <w:vAlign w:val="bottom"/>
            <w:gridSpan w:val="2"/>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1380" w:type="dxa"/>
            <w:vAlign w:val="bottom"/>
          </w:tcPr>
          <w:p>
            <w:pPr>
              <w:jc w:val="center"/>
              <w:spacing w:after="0"/>
              <w:rPr>
                <w:sz w:val="20"/>
                <w:szCs w:val="20"/>
                <w:color w:val="auto"/>
              </w:rPr>
            </w:pPr>
            <w:r>
              <w:rPr>
                <w:rFonts w:ascii="Arial" w:cs="Arial" w:eastAsia="Arial" w:hAnsi="Arial"/>
                <w:sz w:val="8"/>
                <w:szCs w:val="8"/>
                <w:color w:val="auto"/>
              </w:rPr>
              <w:t>12,070</w:t>
            </w: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tcPr>
          <w:p>
            <w:pPr>
              <w:jc w:val="center"/>
              <w:spacing w:after="0"/>
              <w:rPr>
                <w:sz w:val="20"/>
                <w:szCs w:val="20"/>
                <w:color w:val="auto"/>
              </w:rPr>
            </w:pPr>
            <w:r>
              <w:rPr>
                <w:rFonts w:ascii="Arial" w:cs="Arial" w:eastAsia="Arial" w:hAnsi="Arial"/>
                <w:sz w:val="8"/>
                <w:szCs w:val="8"/>
                <w:color w:val="auto"/>
              </w:rPr>
              <w:t>362,853</w:t>
            </w:r>
          </w:p>
        </w:tc>
        <w:tc>
          <w:tcPr>
            <w:tcW w:w="0" w:type="dxa"/>
            <w:vAlign w:val="bottom"/>
          </w:tcPr>
          <w:p>
            <w:pPr>
              <w:spacing w:after="0"/>
              <w:rPr>
                <w:sz w:val="1"/>
                <w:szCs w:val="1"/>
                <w:color w:val="auto"/>
              </w:rPr>
            </w:pPr>
          </w:p>
        </w:tc>
      </w:tr>
      <w:tr>
        <w:trPr>
          <w:trHeight w:val="115"/>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Troy</w:t>
            </w:r>
          </w:p>
        </w:tc>
        <w:tc>
          <w:tcPr>
            <w:tcW w:w="80" w:type="dxa"/>
            <w:vAlign w:val="bottom"/>
            <w:shd w:val="clear" w:color="auto" w:fill="DBDBDB"/>
          </w:tcPr>
          <w:p>
            <w:pPr>
              <w:spacing w:after="0"/>
              <w:rPr>
                <w:sz w:val="9"/>
                <w:szCs w:val="9"/>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Deferred Compensation</w:t>
            </w:r>
          </w:p>
        </w:tc>
        <w:tc>
          <w:tcPr>
            <w:tcW w:w="1660" w:type="dxa"/>
            <w:vAlign w:val="bottom"/>
            <w:gridSpan w:val="2"/>
            <w:vMerge w:val="restart"/>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56"/>
        </w:trPr>
        <w:tc>
          <w:tcPr>
            <w:tcW w:w="1460" w:type="dxa"/>
            <w:vAlign w:val="bottom"/>
            <w:vMerge w:val="restart"/>
            <w:shd w:val="clear" w:color="auto" w:fill="DBDBDB"/>
          </w:tcPr>
          <w:p>
            <w:pPr>
              <w:spacing w:after="0"/>
              <w:rPr>
                <w:sz w:val="20"/>
                <w:szCs w:val="20"/>
                <w:color w:val="auto"/>
              </w:rPr>
            </w:pPr>
            <w:r>
              <w:rPr>
                <w:rFonts w:ascii="Arial" w:cs="Arial" w:eastAsia="Arial" w:hAnsi="Arial"/>
                <w:sz w:val="8"/>
                <w:szCs w:val="8"/>
                <w:color w:val="auto"/>
              </w:rPr>
              <w:t>R.</w:t>
            </w: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660" w:type="dxa"/>
            <w:vAlign w:val="bottom"/>
            <w:gridSpan w:val="2"/>
            <w:vMerge w:val="continue"/>
            <w:shd w:val="clear" w:color="auto" w:fill="DBDBDB"/>
          </w:tcPr>
          <w:p>
            <w:pPr>
              <w:spacing w:after="0"/>
              <w:rPr>
                <w:sz w:val="4"/>
                <w:szCs w:val="4"/>
                <w:color w:val="auto"/>
              </w:rPr>
            </w:pPr>
          </w:p>
        </w:tc>
        <w:tc>
          <w:tcPr>
            <w:tcW w:w="1560" w:type="dxa"/>
            <w:vAlign w:val="bottom"/>
            <w:gridSpan w:val="2"/>
            <w:vMerge w:val="continue"/>
            <w:shd w:val="clear" w:color="auto" w:fill="DBDBDB"/>
          </w:tcPr>
          <w:p>
            <w:pPr>
              <w:spacing w:after="0"/>
              <w:rPr>
                <w:sz w:val="4"/>
                <w:szCs w:val="4"/>
                <w:color w:val="auto"/>
              </w:rPr>
            </w:pPr>
          </w:p>
        </w:tc>
        <w:tc>
          <w:tcPr>
            <w:tcW w:w="1460" w:type="dxa"/>
            <w:vAlign w:val="bottom"/>
            <w:gridSpan w:val="2"/>
            <w:vMerge w:val="continue"/>
            <w:shd w:val="clear" w:color="auto" w:fill="DBDBDB"/>
          </w:tcPr>
          <w:p>
            <w:pPr>
              <w:spacing w:after="0"/>
              <w:rPr>
                <w:sz w:val="4"/>
                <w:szCs w:val="4"/>
                <w:color w:val="auto"/>
              </w:rPr>
            </w:pPr>
          </w:p>
        </w:tc>
        <w:tc>
          <w:tcPr>
            <w:tcW w:w="1440" w:type="dxa"/>
            <w:vAlign w:val="bottom"/>
            <w:gridSpan w:val="2"/>
            <w:vMerge w:val="continue"/>
            <w:shd w:val="clear" w:color="auto" w:fill="DBDBDB"/>
          </w:tcPr>
          <w:p>
            <w:pPr>
              <w:spacing w:after="0"/>
              <w:rPr>
                <w:sz w:val="4"/>
                <w:szCs w:val="4"/>
                <w:color w:val="auto"/>
              </w:rPr>
            </w:pPr>
          </w:p>
        </w:tc>
        <w:tc>
          <w:tcPr>
            <w:tcW w:w="14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5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Johnson</w:t>
            </w:r>
          </w:p>
        </w:tc>
        <w:tc>
          <w:tcPr>
            <w:tcW w:w="80" w:type="dxa"/>
            <w:vAlign w:val="bottom"/>
            <w:shd w:val="clear" w:color="auto" w:fill="DBDBDB"/>
          </w:tcPr>
          <w:p>
            <w:pPr>
              <w:spacing w:after="0"/>
              <w:rPr>
                <w:sz w:val="13"/>
                <w:szCs w:val="13"/>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1460" w:type="dxa"/>
            <w:vAlign w:val="bottom"/>
          </w:tcPr>
          <w:p>
            <w:pPr>
              <w:spacing w:after="0"/>
              <w:rPr>
                <w:sz w:val="20"/>
                <w:szCs w:val="20"/>
                <w:color w:val="auto"/>
              </w:rPr>
            </w:pPr>
            <w:r>
              <w:rPr>
                <w:rFonts w:ascii="Arial" w:cs="Arial" w:eastAsia="Arial" w:hAnsi="Arial"/>
                <w:sz w:val="8"/>
                <w:szCs w:val="8"/>
                <w:color w:val="auto"/>
              </w:rPr>
              <w:t>Veena</w:t>
            </w:r>
          </w:p>
        </w:tc>
        <w:tc>
          <w:tcPr>
            <w:tcW w:w="80" w:type="dxa"/>
            <w:vAlign w:val="bottom"/>
          </w:tcPr>
          <w:p>
            <w:pPr>
              <w:spacing w:after="0"/>
              <w:rPr>
                <w:sz w:val="9"/>
                <w:szCs w:val="9"/>
                <w:color w:val="auto"/>
              </w:rPr>
            </w:pPr>
          </w:p>
        </w:tc>
        <w:tc>
          <w:tcPr>
            <w:tcW w:w="1940" w:type="dxa"/>
            <w:vAlign w:val="bottom"/>
            <w:gridSpan w:val="2"/>
          </w:tcPr>
          <w:p>
            <w:pPr>
              <w:ind w:left="20"/>
              <w:spacing w:after="0"/>
              <w:rPr>
                <w:sz w:val="20"/>
                <w:szCs w:val="20"/>
                <w:color w:val="auto"/>
              </w:rPr>
            </w:pPr>
            <w:r>
              <w:rPr>
                <w:rFonts w:ascii="Arial" w:cs="Arial" w:eastAsia="Arial" w:hAnsi="Arial"/>
                <w:sz w:val="8"/>
                <w:szCs w:val="8"/>
                <w:color w:val="auto"/>
              </w:rPr>
              <w:t>Deferred Compensation</w:t>
            </w:r>
          </w:p>
        </w:tc>
        <w:tc>
          <w:tcPr>
            <w:tcW w:w="1660" w:type="dxa"/>
            <w:vAlign w:val="bottom"/>
            <w:gridSpan w:val="2"/>
            <w:vMerge w:val="restart"/>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56"/>
        </w:trPr>
        <w:tc>
          <w:tcPr>
            <w:tcW w:w="1460" w:type="dxa"/>
            <w:vAlign w:val="bottom"/>
            <w:vMerge w:val="restart"/>
          </w:tcPr>
          <w:p>
            <w:pPr>
              <w:spacing w:after="0"/>
              <w:rPr>
                <w:sz w:val="20"/>
                <w:szCs w:val="20"/>
                <w:color w:val="auto"/>
              </w:rPr>
            </w:pPr>
            <w:r>
              <w:rPr>
                <w:rFonts w:ascii="Arial" w:cs="Arial" w:eastAsia="Arial" w:hAnsi="Arial"/>
                <w:sz w:val="8"/>
                <w:szCs w:val="8"/>
                <w:color w:val="auto"/>
              </w:rPr>
              <w:t>M.</w:t>
            </w: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460" w:type="dxa"/>
            <w:vAlign w:val="bottom"/>
          </w:tcPr>
          <w:p>
            <w:pPr>
              <w:spacing w:after="0"/>
              <w:rPr>
                <w:sz w:val="20"/>
                <w:szCs w:val="20"/>
                <w:color w:val="auto"/>
              </w:rPr>
            </w:pPr>
            <w:r>
              <w:rPr>
                <w:rFonts w:ascii="Arial" w:cs="Arial" w:eastAsia="Arial" w:hAnsi="Arial"/>
                <w:sz w:val="8"/>
                <w:szCs w:val="8"/>
                <w:color w:val="auto"/>
              </w:rPr>
              <w:t>Lakkundi</w:t>
            </w:r>
          </w:p>
        </w:tc>
        <w:tc>
          <w:tcPr>
            <w:tcW w:w="80" w:type="dxa"/>
            <w:vAlign w:val="bottom"/>
          </w:tcPr>
          <w:p>
            <w:pPr>
              <w:spacing w:after="0"/>
              <w:rPr>
                <w:sz w:val="12"/>
                <w:szCs w:val="12"/>
                <w:color w:val="auto"/>
              </w:rPr>
            </w:pPr>
          </w:p>
        </w:tc>
        <w:tc>
          <w:tcPr>
            <w:tcW w:w="1940" w:type="dxa"/>
            <w:vAlign w:val="bottom"/>
            <w:gridSpan w:val="2"/>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5"/>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Brent</w:t>
            </w:r>
          </w:p>
        </w:tc>
        <w:tc>
          <w:tcPr>
            <w:tcW w:w="80" w:type="dxa"/>
            <w:vAlign w:val="bottom"/>
            <w:shd w:val="clear" w:color="auto" w:fill="DBDBDB"/>
          </w:tcPr>
          <w:p>
            <w:pPr>
              <w:spacing w:after="0"/>
              <w:rPr>
                <w:sz w:val="9"/>
                <w:szCs w:val="9"/>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Deferred Compensation</w:t>
            </w:r>
          </w:p>
        </w:tc>
        <w:tc>
          <w:tcPr>
            <w:tcW w:w="1660" w:type="dxa"/>
            <w:vAlign w:val="bottom"/>
            <w:gridSpan w:val="2"/>
            <w:vMerge w:val="restart"/>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56"/>
        </w:trPr>
        <w:tc>
          <w:tcPr>
            <w:tcW w:w="1460" w:type="dxa"/>
            <w:vAlign w:val="bottom"/>
            <w:vMerge w:val="restart"/>
            <w:shd w:val="clear" w:color="auto" w:fill="DBDBDB"/>
          </w:tcPr>
          <w:p>
            <w:pPr>
              <w:spacing w:after="0"/>
              <w:rPr>
                <w:sz w:val="20"/>
                <w:szCs w:val="20"/>
                <w:color w:val="auto"/>
              </w:rPr>
            </w:pPr>
            <w:r>
              <w:rPr>
                <w:rFonts w:ascii="Arial" w:cs="Arial" w:eastAsia="Arial" w:hAnsi="Arial"/>
                <w:sz w:val="8"/>
                <w:szCs w:val="8"/>
                <w:color w:val="auto"/>
              </w:rPr>
              <w:t>C.</w:t>
            </w: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660" w:type="dxa"/>
            <w:vAlign w:val="bottom"/>
            <w:gridSpan w:val="2"/>
            <w:vMerge w:val="continue"/>
            <w:shd w:val="clear" w:color="auto" w:fill="DBDBDB"/>
          </w:tcPr>
          <w:p>
            <w:pPr>
              <w:spacing w:after="0"/>
              <w:rPr>
                <w:sz w:val="4"/>
                <w:szCs w:val="4"/>
                <w:color w:val="auto"/>
              </w:rPr>
            </w:pPr>
          </w:p>
        </w:tc>
        <w:tc>
          <w:tcPr>
            <w:tcW w:w="1560" w:type="dxa"/>
            <w:vAlign w:val="bottom"/>
            <w:gridSpan w:val="2"/>
            <w:vMerge w:val="continue"/>
            <w:shd w:val="clear" w:color="auto" w:fill="DBDBDB"/>
          </w:tcPr>
          <w:p>
            <w:pPr>
              <w:spacing w:after="0"/>
              <w:rPr>
                <w:sz w:val="4"/>
                <w:szCs w:val="4"/>
                <w:color w:val="auto"/>
              </w:rPr>
            </w:pPr>
          </w:p>
        </w:tc>
        <w:tc>
          <w:tcPr>
            <w:tcW w:w="1460" w:type="dxa"/>
            <w:vAlign w:val="bottom"/>
            <w:gridSpan w:val="2"/>
            <w:vMerge w:val="continue"/>
            <w:shd w:val="clear" w:color="auto" w:fill="DBDBDB"/>
          </w:tcPr>
          <w:p>
            <w:pPr>
              <w:spacing w:after="0"/>
              <w:rPr>
                <w:sz w:val="4"/>
                <w:szCs w:val="4"/>
                <w:color w:val="auto"/>
              </w:rPr>
            </w:pPr>
          </w:p>
        </w:tc>
        <w:tc>
          <w:tcPr>
            <w:tcW w:w="1440" w:type="dxa"/>
            <w:vAlign w:val="bottom"/>
            <w:gridSpan w:val="2"/>
            <w:vMerge w:val="continue"/>
            <w:shd w:val="clear" w:color="auto" w:fill="DBDBDB"/>
          </w:tcPr>
          <w:p>
            <w:pPr>
              <w:spacing w:after="0"/>
              <w:rPr>
                <w:sz w:val="4"/>
                <w:szCs w:val="4"/>
                <w:color w:val="auto"/>
              </w:rPr>
            </w:pPr>
          </w:p>
        </w:tc>
        <w:tc>
          <w:tcPr>
            <w:tcW w:w="14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5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Jewell</w:t>
            </w:r>
          </w:p>
        </w:tc>
        <w:tc>
          <w:tcPr>
            <w:tcW w:w="80" w:type="dxa"/>
            <w:vAlign w:val="bottom"/>
            <w:shd w:val="clear" w:color="auto" w:fill="DBDBDB"/>
          </w:tcPr>
          <w:p>
            <w:pPr>
              <w:spacing w:after="0"/>
              <w:rPr>
                <w:sz w:val="13"/>
                <w:szCs w:val="13"/>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1460" w:type="dxa"/>
            <w:vAlign w:val="bottom"/>
          </w:tcPr>
          <w:p>
            <w:pPr>
              <w:spacing w:after="0"/>
              <w:rPr>
                <w:sz w:val="20"/>
                <w:szCs w:val="20"/>
                <w:color w:val="auto"/>
              </w:rPr>
            </w:pPr>
            <w:r>
              <w:rPr>
                <w:rFonts w:ascii="Arial" w:cs="Arial" w:eastAsia="Arial" w:hAnsi="Arial"/>
                <w:sz w:val="8"/>
                <w:szCs w:val="8"/>
                <w:color w:val="auto"/>
              </w:rPr>
              <w:t>Ty</w:t>
            </w:r>
          </w:p>
        </w:tc>
        <w:tc>
          <w:tcPr>
            <w:tcW w:w="80" w:type="dxa"/>
            <w:vAlign w:val="bottom"/>
          </w:tcPr>
          <w:p>
            <w:pPr>
              <w:spacing w:after="0"/>
              <w:rPr>
                <w:sz w:val="9"/>
                <w:szCs w:val="9"/>
                <w:color w:val="auto"/>
              </w:rPr>
            </w:pPr>
          </w:p>
        </w:tc>
        <w:tc>
          <w:tcPr>
            <w:tcW w:w="1940" w:type="dxa"/>
            <w:vAlign w:val="bottom"/>
            <w:gridSpan w:val="2"/>
          </w:tcPr>
          <w:p>
            <w:pPr>
              <w:ind w:left="20"/>
              <w:spacing w:after="0"/>
              <w:rPr>
                <w:sz w:val="20"/>
                <w:szCs w:val="20"/>
                <w:color w:val="auto"/>
              </w:rPr>
            </w:pPr>
            <w:r>
              <w:rPr>
                <w:rFonts w:ascii="Arial" w:cs="Arial" w:eastAsia="Arial" w:hAnsi="Arial"/>
                <w:sz w:val="8"/>
                <w:szCs w:val="8"/>
                <w:color w:val="auto"/>
              </w:rPr>
              <w:t>Deferred Compensation</w:t>
            </w:r>
          </w:p>
        </w:tc>
        <w:tc>
          <w:tcPr>
            <w:tcW w:w="1660" w:type="dxa"/>
            <w:vAlign w:val="bottom"/>
            <w:gridSpan w:val="2"/>
            <w:vMerge w:val="restart"/>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56"/>
        </w:trPr>
        <w:tc>
          <w:tcPr>
            <w:tcW w:w="1460" w:type="dxa"/>
            <w:vAlign w:val="bottom"/>
            <w:vMerge w:val="restart"/>
          </w:tcPr>
          <w:p>
            <w:pPr>
              <w:spacing w:after="0"/>
              <w:rPr>
                <w:sz w:val="20"/>
                <w:szCs w:val="20"/>
                <w:color w:val="auto"/>
              </w:rPr>
            </w:pPr>
            <w:r>
              <w:rPr>
                <w:rFonts w:ascii="Arial" w:cs="Arial" w:eastAsia="Arial" w:hAnsi="Arial"/>
                <w:sz w:val="8"/>
                <w:szCs w:val="8"/>
                <w:color w:val="auto"/>
              </w:rPr>
              <w:t>R.</w:t>
            </w: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8"/>
                <w:szCs w:val="8"/>
                <w:color w:val="auto"/>
              </w:rPr>
              <w:t>Silberhorn</w:t>
            </w:r>
          </w:p>
        </w:tc>
        <w:tc>
          <w:tcPr>
            <w:tcW w:w="80" w:type="dxa"/>
            <w:vAlign w:val="bottom"/>
          </w:tcPr>
          <w:p>
            <w:pPr>
              <w:spacing w:after="0"/>
              <w:rPr>
                <w:sz w:val="12"/>
                <w:szCs w:val="12"/>
                <w:color w:val="auto"/>
              </w:rPr>
            </w:pPr>
          </w:p>
        </w:tc>
        <w:tc>
          <w:tcPr>
            <w:tcW w:w="1940" w:type="dxa"/>
            <w:vAlign w:val="bottom"/>
            <w:gridSpan w:val="2"/>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15"/>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Matthew</w:t>
            </w:r>
          </w:p>
        </w:tc>
        <w:tc>
          <w:tcPr>
            <w:tcW w:w="80" w:type="dxa"/>
            <w:vAlign w:val="bottom"/>
            <w:shd w:val="clear" w:color="auto" w:fill="DBDBDB"/>
          </w:tcPr>
          <w:p>
            <w:pPr>
              <w:spacing w:after="0"/>
              <w:rPr>
                <w:sz w:val="9"/>
                <w:szCs w:val="9"/>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Deferred Compensation</w:t>
            </w:r>
          </w:p>
        </w:tc>
        <w:tc>
          <w:tcPr>
            <w:tcW w:w="1660" w:type="dxa"/>
            <w:vAlign w:val="bottom"/>
            <w:gridSpan w:val="2"/>
            <w:vMerge w:val="restart"/>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56"/>
        </w:trPr>
        <w:tc>
          <w:tcPr>
            <w:tcW w:w="1460" w:type="dxa"/>
            <w:vAlign w:val="bottom"/>
            <w:vMerge w:val="restart"/>
            <w:shd w:val="clear" w:color="auto" w:fill="DBDBDB"/>
          </w:tcPr>
          <w:p>
            <w:pPr>
              <w:spacing w:after="0"/>
              <w:rPr>
                <w:sz w:val="20"/>
                <w:szCs w:val="20"/>
                <w:color w:val="auto"/>
              </w:rPr>
            </w:pPr>
            <w:r>
              <w:rPr>
                <w:rFonts w:ascii="Arial" w:cs="Arial" w:eastAsia="Arial" w:hAnsi="Arial"/>
                <w:sz w:val="8"/>
                <w:szCs w:val="8"/>
                <w:color w:val="auto"/>
              </w:rPr>
              <w:t>J.</w:t>
            </w: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660" w:type="dxa"/>
            <w:vAlign w:val="bottom"/>
            <w:gridSpan w:val="2"/>
            <w:vMerge w:val="continue"/>
            <w:shd w:val="clear" w:color="auto" w:fill="DBDBDB"/>
          </w:tcPr>
          <w:p>
            <w:pPr>
              <w:spacing w:after="0"/>
              <w:rPr>
                <w:sz w:val="4"/>
                <w:szCs w:val="4"/>
                <w:color w:val="auto"/>
              </w:rPr>
            </w:pPr>
          </w:p>
        </w:tc>
        <w:tc>
          <w:tcPr>
            <w:tcW w:w="1560" w:type="dxa"/>
            <w:vAlign w:val="bottom"/>
            <w:gridSpan w:val="2"/>
            <w:vMerge w:val="continue"/>
            <w:shd w:val="clear" w:color="auto" w:fill="DBDBDB"/>
          </w:tcPr>
          <w:p>
            <w:pPr>
              <w:spacing w:after="0"/>
              <w:rPr>
                <w:sz w:val="4"/>
                <w:szCs w:val="4"/>
                <w:color w:val="auto"/>
              </w:rPr>
            </w:pPr>
          </w:p>
        </w:tc>
        <w:tc>
          <w:tcPr>
            <w:tcW w:w="1460" w:type="dxa"/>
            <w:vAlign w:val="bottom"/>
            <w:gridSpan w:val="2"/>
            <w:vMerge w:val="continue"/>
            <w:shd w:val="clear" w:color="auto" w:fill="DBDBDB"/>
          </w:tcPr>
          <w:p>
            <w:pPr>
              <w:spacing w:after="0"/>
              <w:rPr>
                <w:sz w:val="4"/>
                <w:szCs w:val="4"/>
                <w:color w:val="auto"/>
              </w:rPr>
            </w:pPr>
          </w:p>
        </w:tc>
        <w:tc>
          <w:tcPr>
            <w:tcW w:w="1440" w:type="dxa"/>
            <w:vAlign w:val="bottom"/>
            <w:gridSpan w:val="2"/>
            <w:vMerge w:val="continue"/>
            <w:shd w:val="clear" w:color="auto" w:fill="DBDBDB"/>
          </w:tcPr>
          <w:p>
            <w:pPr>
              <w:spacing w:after="0"/>
              <w:rPr>
                <w:sz w:val="4"/>
                <w:szCs w:val="4"/>
                <w:color w:val="auto"/>
              </w:rPr>
            </w:pPr>
          </w:p>
        </w:tc>
        <w:tc>
          <w:tcPr>
            <w:tcW w:w="14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8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5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8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4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460" w:type="dxa"/>
            <w:vAlign w:val="bottom"/>
            <w:shd w:val="clear" w:color="auto" w:fill="DBDBDB"/>
          </w:tcPr>
          <w:p>
            <w:pPr>
              <w:spacing w:after="0"/>
              <w:rPr>
                <w:sz w:val="20"/>
                <w:szCs w:val="20"/>
                <w:color w:val="auto"/>
              </w:rPr>
            </w:pPr>
            <w:r>
              <w:rPr>
                <w:rFonts w:ascii="Arial" w:cs="Arial" w:eastAsia="Arial" w:hAnsi="Arial"/>
                <w:sz w:val="8"/>
                <w:szCs w:val="8"/>
                <w:color w:val="auto"/>
              </w:rPr>
              <w:t>Osberg</w:t>
            </w:r>
          </w:p>
        </w:tc>
        <w:tc>
          <w:tcPr>
            <w:tcW w:w="80" w:type="dxa"/>
            <w:vAlign w:val="bottom"/>
            <w:shd w:val="clear" w:color="auto" w:fill="DBDBDB"/>
          </w:tcPr>
          <w:p>
            <w:pPr>
              <w:spacing w:after="0"/>
              <w:rPr>
                <w:sz w:val="13"/>
                <w:szCs w:val="13"/>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8"/>
                <w:szCs w:val="8"/>
                <w:color w:val="auto"/>
              </w:rPr>
              <w:t>Legacy Deferred Compensation</w:t>
            </w:r>
          </w:p>
        </w:tc>
        <w:tc>
          <w:tcPr>
            <w:tcW w:w="1660" w:type="dxa"/>
            <w:vAlign w:val="bottom"/>
            <w:gridSpan w:val="2"/>
            <w:shd w:val="clear" w:color="auto" w:fill="DBDBDB"/>
          </w:tcPr>
          <w:p>
            <w:pPr>
              <w:jc w:val="center"/>
              <w:ind w:right="60"/>
              <w:spacing w:after="0"/>
              <w:rPr>
                <w:sz w:val="20"/>
                <w:szCs w:val="20"/>
                <w:color w:val="auto"/>
              </w:rPr>
            </w:pPr>
            <w:r>
              <w:rPr>
                <w:rFonts w:ascii="Arial" w:cs="Arial" w:eastAsia="Arial" w:hAnsi="Arial"/>
                <w:sz w:val="8"/>
                <w:szCs w:val="8"/>
                <w:color w:val="auto"/>
                <w:w w:val="99"/>
              </w:rPr>
              <w:t>—</w:t>
            </w:r>
          </w:p>
        </w:tc>
        <w:tc>
          <w:tcPr>
            <w:tcW w:w="15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6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rPr>
              <w:t>—</w:t>
            </w:r>
          </w:p>
        </w:tc>
        <w:tc>
          <w:tcPr>
            <w:tcW w:w="144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1480" w:type="dxa"/>
            <w:vAlign w:val="bottom"/>
            <w:shd w:val="clear" w:color="auto" w:fill="DBDBDB"/>
          </w:tcPr>
          <w:p>
            <w:pPr>
              <w:jc w:val="center"/>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jc w:val="both"/>
        <w:ind w:left="328" w:hanging="328"/>
        <w:spacing w:after="0" w:line="268" w:lineRule="auto"/>
        <w:tabs>
          <w:tab w:leader="none" w:pos="322" w:val="left"/>
        </w:tabs>
        <w:numPr>
          <w:ilvl w:val="0"/>
          <w:numId w:val="60"/>
        </w:numPr>
        <w:rPr>
          <w:rFonts w:ascii="Arial" w:cs="Arial" w:eastAsia="Arial" w:hAnsi="Arial"/>
          <w:sz w:val="12"/>
          <w:szCs w:val="12"/>
          <w:color w:val="auto"/>
        </w:rPr>
      </w:pPr>
      <w:r>
        <w:rPr>
          <w:rFonts w:ascii="Arial" w:cs="Arial" w:eastAsia="Arial" w:hAnsi="Arial"/>
          <w:sz w:val="12"/>
          <w:szCs w:val="12"/>
          <w:color w:val="auto"/>
        </w:rPr>
        <w:t xml:space="preserve">Pursuant to SEC rules, all earnings in non-qualified deferred compensation in fiscal 2026 in excess of 5.79%, 120% of the applicable federal rate compounded annually, have been deemed "above-market earnings." During fiscal 2026, the interest paid on amounts deferred for plan years beginning prior to January 2010 pursuant to our Legacy Deferred Compensation Plan was 9.03%. This amount is reported in the "Change in Pension Value and Non-Qualified Deferred Compensation Earnings" column of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w:t>
      </w:r>
    </w:p>
    <w:p>
      <w:pPr>
        <w:spacing w:after="0" w:line="41"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60"/>
        </w:numPr>
        <w:rPr>
          <w:rFonts w:ascii="Arial" w:cs="Arial" w:eastAsia="Arial" w:hAnsi="Arial"/>
          <w:sz w:val="12"/>
          <w:szCs w:val="12"/>
          <w:color w:val="auto"/>
        </w:rPr>
      </w:pPr>
      <w:r>
        <w:rPr>
          <w:rFonts w:ascii="Arial" w:cs="Arial" w:eastAsia="Arial" w:hAnsi="Arial"/>
          <w:sz w:val="12"/>
          <w:szCs w:val="12"/>
          <w:color w:val="auto"/>
        </w:rPr>
        <w:t xml:space="preserve">The amount reported for Mr. Augdahl is reported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xml:space="preserve"> for fiscal 2026 in the "Non-Equity Incentive Plan Compensation" column. The amount reported for Mr. Augdahl for our Legacy Deferred Compensation Plan is not reported in the "Summary Compensation Table" on page </w:t>
      </w:r>
      <w:r>
        <w:rPr>
          <w:rFonts w:ascii="Arial" w:cs="Arial" w:eastAsia="Arial" w:hAnsi="Arial"/>
          <w:sz w:val="12"/>
          <w:szCs w:val="12"/>
          <w:u w:val="single" w:color="auto"/>
          <w:color w:val="0000FF"/>
        </w:rPr>
        <w:t>53</w:t>
      </w:r>
      <w:r>
        <w:rPr>
          <w:rFonts w:ascii="Arial" w:cs="Arial" w:eastAsia="Arial" w:hAnsi="Arial"/>
          <w:sz w:val="12"/>
          <w:szCs w:val="12"/>
          <w:color w:val="auto"/>
        </w:rPr>
        <w:t>, because all of these amounts were earned by him prior to fiscal 2026.</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5445E"/>
        </w:rPr>
        <w:t>Potential Payments Upon Termination or Following a Change-in-Control</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Except as discussed below, if the employment of any of our Named Executive Officers is voluntarily or involuntarily terminated, no additional payments or benefits will accrue or be owed to them.</w:t>
      </w:r>
    </w:p>
    <w:p>
      <w:pPr>
        <w:spacing w:after="0" w:line="150"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color w:val="auto"/>
        </w:rPr>
        <w:t>Except as discussed below, or in connection with a change-in-control, a voluntary or involuntary termination will not trigger an acceleration of the vesting of any outstanding equity awards, subject to the Compensation Committee’s discretion to accelerate the awards.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8" w:right="299"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color w:val="05445E"/>
        </w:rPr>
        <w:t>Retirement</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the event a Named Executive Officer retires, the Compensation Committee may exercise its discretion to accelerate the vesting of their restricted stock awards. In the event a Named Executive Officer retires prior to the end of a performance period for a performance award, the Named Executive Officer will be entitled to receive a pro-rata payment (based on the amount of time elapsed between the beginning of the performance period and the date of termination) after the end of the performance period based on the level of achievement of the performance metric. In the event a Named Executive Officer retires after the performance period, they will be entitled to receive, if not yet paid, the performance award. None of our Named Executive Officers were deemed retirement eligible as of the end of fiscal 2026.</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Payments Made Upon Termination Without Cause or For Good Reason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connection with Mr. Silberhorn's appointment as Chief Executive Officer effective January 4, 2021, to replace forfeited compensation earned by him at his previous employer, he received restricted stock of the Company valued at $1,400,000, which vests in two installments over a five-year period, with the first installment of $500,000 vesting on January 4, 2023, and the second installment of $900,000 vesting on January 4, 2026 (the “Retention Grant Agreement”). If Mr. Silberhorn's employment is terminated within five years of the Commencement Date (as defined in the Retention Grant Agreement) by the Company without “Cause” (as defined in the Retention Grant Agreement) or by him for “Good Reason” (as defined in the Retention Grant Agreement), Mr. Silberhorn shall be entitled to automatic acceleration of any unvested shares of the Retention Grant Agreement. The second installment of unvested shares were accelerated and vested as of Mr. Silberhorn's departure on October 31, 2025.</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Payments Made Upon Disability</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Under the terms of the Apogee Enterprises, Inc. Short-Term and Long-Term Disability Plans, each of our Named Executive Officers who participates in such plans is eligible for a disability benefit. All Named Executive Officers are eligible for and have elected to participate in our enhanced Long-Term Disability Plan, and are eligible for a disability benefit that is equal to 100% of their monthly base salary during the first three months of disability and 60% of their monthly base salary up to a maximum of $15,000 per month thereafter.</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If the employment of any of our Named Executive Officers is terminated due to disability, the terms of our restricted stock agreements provide for the immediate vesting of such awards. In the event employment is terminated prior to the end of a performance period for a performance award, the Named Executive Officer will be entitled to receive a pro-rata payment (based on the amount of time elapsed between the beginning of the performance period and the date of termination) after the end of the performance period based on the level of achievement of the performance metric. In the event employment is terminated after the performance period, the Named Executive Officer will be entitled to receive, if not yet paid, the performance award.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Payments Made Upon Death</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The terms of our restricted stock agreements provide for the immediate vesting of such awards in the event of the Named Executive Officer’s death.</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In the event of death prior to the end of a performance period for a performance award, the Named Executive Officer’s estate will be entitled to receive a pro-rata payment (based on the amount of time elapsed between the beginning of the performance period and the date of death) after the end of the performance period based on the level of achievement of the performance metric. In the event of death after the performance period, the Named Executive Officer’s estate will be entitled to receive, if not yet paid, the performance award.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Change-in-Control Severance Agreements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Compensation Committee believes that offering a change-in-control program provides executive officers a degree of security in the event of a corporate transaction and allows for better alignment of executive officer and shareholder interests. We have entered into a change-in-control severance agreement (the “CIC Severance Agreement”) with each of our Named Executive Officers. Our CIC Severance Agreement is designed to retain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our executive officers and provide for continuity of management in the event of an actual or threatened “Change-in-Control of Apogee” (as defined in the CIC Severance Agreement).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CIC Severance Agreement contains a “double trigger” for benefits, which means that there must be both a “Change-in-Control of Apogee” and a qualifying termination of the executive’s employment for the provisions to apply. It provides that, in the event of a “Change-in-Control of Apogee,” each of our Named Executive Officers will have specific rights and receive specified benefits if the executive officer is terminated without “Cause” (as defined in the CIC Severance Agreement) or the executive officer voluntarily terminates their employment for “Good Reason” (as defined in the CIC Severance Agreement) within two-years after the “Change-in-Control of Apogee.” In these circumstances, our Named Executive Officers will each receive a severance payment equal to two times their annual base salary and short-term cash incentive at target level performance for such fiscal year. For Messrs. Augdahl, T. Johnson and Jewell and Ms. Lakkundi, our CIC Severance Agreement provides that, for a 24-month period following a “Change-in-Control of Apogee,” our Company will continue to provide medical and dental insurance coverage for the executive officer and the executive officer’s dependents or will reimburse the executive officer for the cost of obtaining substantially similar benefits. For Messrs. Silberhorn and Osberg, the CIC Severance Agreements that had been in place were no longer in effect following separation from the Company. No benefits will be paid to the executive officer pursuant to the CIC Severance Agreement unless the executive officer executes and delivers to Apogee a release of claims. Subject to the double trigger described above, all shares of restricted stock that have not vested by the Employment Termination Date will vest. For performance awards, the performance period will end on the date of the "Change-in-Control of Apogee," and the award will be adjusted by the Compensation Committee in its sole discretion. If a "Change-in-Control of Apogee" occurs after the performance period, the Company will pay any unpaid amount earned during the performance period.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We do not provide a tax gross-up payment for any excise tax liability under Internal Revenue Code Section 4999 related to Section 280G excess parachute payments</w:t>
      </w:r>
      <w:r>
        <w:rPr>
          <w:rFonts w:ascii="Arial" w:cs="Arial" w:eastAsia="Arial" w:hAnsi="Arial"/>
          <w:sz w:val="12"/>
          <w:szCs w:val="12"/>
          <w:color w:val="auto"/>
        </w:rPr>
        <w:t>.</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Our CIC Severance Agreements contain a “best-net-benefit” provision which provides that, in the event that payments under the CIC Severance Agreements trigger excise tax for the Named Executive Officer, such officer has the option of either reducing the severance payment, if the net benefit is greater than paying the excise tax, or paying the excise tax themselves.</w:t>
      </w:r>
    </w:p>
    <w:p>
      <w:pPr>
        <w:spacing w:after="0" w:line="103"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To receive these severance benefits, the executive officer shall not: (1) solicit, directly or indirectly, any of our existing or prospective customers, vendors or suppliers for a purpose competitive to our business or to encourage such customers, vendors or suppliers to terminate business with us; (2) solicit, directly or indirectly, any of our employees to terminate their employment; or (3) engage in or carry on, directly or indirectly, in certain geographic markets a business competitive with our business, for a period of 12- or 24-months following termination of employment.</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The CIC Severance Agreements continue through December 31 of each year and provide for automatic extension for one-year terms prior to a "Change-in-Control of Apogee" unless we give prior notice of termination.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i w:val="1"/>
          <w:iCs w:val="1"/>
          <w:color w:val="auto"/>
        </w:rPr>
        <w:t>Payments Upon Termination or Change-in-Control</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table below shows potential payments to our Named Executive Officers upon certain terminations pursuant to disability, death or a change-in-control of our Company. The table below assumes that disability, death or the termination of employment occurred, or the "Change-in-Control of Apogee" was effective as of February 27, 2026, the last trading day of fiscal 2026. The amounts shown are estimates of the amounts that would be paid to the Named Executive Officers upon termination of employment or the change-in-control, in addition to the base salary and bonus earned by our Named Executive Officers for fiscal 2026. The actual amounts to be paid can only be determined at the actual time of a Named Executive Officer’s termination of employment.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6"/>
              </w:rPr>
              <w:t>Payments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9"/>
              </w:rPr>
              <w:t>Upon</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7"/>
              </w:rPr>
              <w:t>Involuntary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8"/>
              </w:rPr>
              <w:t>or Good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5"/>
              </w:rPr>
              <w:t>Reason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8"/>
              </w:rPr>
              <w:t>Termination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vMerge w:val="restart"/>
          </w:tcPr>
          <w:p>
            <w:pPr>
              <w:jc w:val="center"/>
              <w:spacing w:after="0"/>
              <w:rPr>
                <w:sz w:val="20"/>
                <w:szCs w:val="20"/>
                <w:color w:val="auto"/>
              </w:rPr>
            </w:pPr>
            <w:r>
              <w:rPr>
                <w:rFonts w:ascii="Arial" w:cs="Arial" w:eastAsia="Arial" w:hAnsi="Arial"/>
                <w:sz w:val="11"/>
                <w:szCs w:val="11"/>
                <w:b w:val="1"/>
                <w:bCs w:val="1"/>
                <w:color w:val="05445E"/>
                <w:w w:val="99"/>
              </w:rPr>
              <w:t>Payments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05445E"/>
                <w:w w:val="99"/>
              </w:rPr>
              <w:t>Payments</w:t>
            </w: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7"/>
              </w:rPr>
              <w:t>After 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line="117" w:lineRule="exact"/>
              <w:rPr>
                <w:sz w:val="20"/>
                <w:szCs w:val="20"/>
                <w:color w:val="auto"/>
              </w:rPr>
            </w:pPr>
            <w:r>
              <w:rPr>
                <w:rFonts w:ascii="Arial" w:cs="Arial" w:eastAsia="Arial" w:hAnsi="Arial"/>
                <w:sz w:val="11"/>
                <w:szCs w:val="11"/>
                <w:b w:val="1"/>
                <w:bCs w:val="1"/>
                <w:color w:val="05445E"/>
                <w:w w:val="97"/>
              </w:rPr>
              <w:t>Change-in-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jc w:val="center"/>
              <w:spacing w:after="0"/>
              <w:rPr>
                <w:sz w:val="20"/>
                <w:szCs w:val="20"/>
                <w:color w:val="auto"/>
              </w:rPr>
            </w:pPr>
            <w:r>
              <w:rPr>
                <w:rFonts w:ascii="Arial" w:cs="Arial" w:eastAsia="Arial" w:hAnsi="Arial"/>
                <w:sz w:val="11"/>
                <w:szCs w:val="11"/>
                <w:b w:val="1"/>
                <w:bCs w:val="1"/>
                <w:color w:val="05445E"/>
                <w:w w:val="99"/>
              </w:rPr>
              <w:t>Upon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05445E"/>
                <w:w w:val="99"/>
              </w:rPr>
              <w:t>Upon</w:t>
            </w: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7"/>
              </w:rPr>
              <w:t>Control</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Arial" w:cs="Arial" w:eastAsia="Arial" w:hAnsi="Arial"/>
                <w:sz w:val="11"/>
                <w:szCs w:val="11"/>
                <w:b w:val="1"/>
                <w:bCs w:val="1"/>
                <w:color w:val="05445E"/>
                <w:w w:val="98"/>
              </w:rPr>
              <w:t>Disability</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05445E"/>
                <w:w w:val="98"/>
              </w:rPr>
              <w:t>Death</w:t>
            </w: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rPr>
              <w:t>Occurs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20"/>
                <w:szCs w:val="20"/>
                <w:color w:val="auto"/>
              </w:rPr>
            </w:pPr>
            <w:r>
              <w:rPr>
                <w:rFonts w:ascii="Arial" w:cs="Arial" w:eastAsia="Arial" w:hAnsi="Arial"/>
                <w:sz w:val="11"/>
                <w:szCs w:val="11"/>
                <w:b w:val="1"/>
                <w:bCs w:val="1"/>
                <w:color w:val="05445E"/>
              </w:rPr>
              <w:t>Name</w:t>
            </w:r>
          </w:p>
        </w:tc>
        <w:tc>
          <w:tcPr>
            <w:tcW w:w="80" w:type="dxa"/>
            <w:vAlign w:val="bottom"/>
          </w:tcPr>
          <w:p>
            <w:pPr>
              <w:spacing w:after="0"/>
              <w:rPr>
                <w:sz w:val="13"/>
                <w:szCs w:val="13"/>
                <w:color w:val="auto"/>
              </w:rPr>
            </w:pPr>
          </w:p>
        </w:tc>
        <w:tc>
          <w:tcPr>
            <w:tcW w:w="2340" w:type="dxa"/>
            <w:vAlign w:val="bottom"/>
          </w:tcPr>
          <w:p>
            <w:pPr>
              <w:ind w:left="740"/>
              <w:spacing w:after="0"/>
              <w:rPr>
                <w:sz w:val="20"/>
                <w:szCs w:val="20"/>
                <w:color w:val="auto"/>
              </w:rPr>
            </w:pPr>
            <w:r>
              <w:rPr>
                <w:rFonts w:ascii="Arial" w:cs="Arial" w:eastAsia="Arial" w:hAnsi="Arial"/>
                <w:sz w:val="11"/>
                <w:szCs w:val="11"/>
                <w:b w:val="1"/>
                <w:bCs w:val="1"/>
                <w:color w:val="05445E"/>
              </w:rPr>
              <w:t>Type of Payment</w:t>
            </w:r>
          </w:p>
        </w:tc>
        <w:tc>
          <w:tcPr>
            <w:tcW w:w="2160" w:type="dxa"/>
            <w:vAlign w:val="bottom"/>
            <w:gridSpan w:val="2"/>
          </w:tcPr>
          <w:p>
            <w:pPr>
              <w:jc w:val="center"/>
              <w:ind w:left="31"/>
              <w:spacing w:after="0"/>
              <w:rPr>
                <w:sz w:val="20"/>
                <w:szCs w:val="20"/>
                <w:color w:val="auto"/>
              </w:rPr>
            </w:pPr>
            <w:r>
              <w:rPr>
                <w:rFonts w:ascii="Arial" w:cs="Arial" w:eastAsia="Arial" w:hAnsi="Arial"/>
                <w:sz w:val="11"/>
                <w:szCs w:val="11"/>
                <w:b w:val="1"/>
                <w:bCs w:val="1"/>
                <w:color w:val="05445E"/>
                <w:w w:val="88"/>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05445E"/>
              </w:rPr>
              <w:t>($)</w:t>
            </w:r>
          </w:p>
        </w:tc>
        <w:tc>
          <w:tcPr>
            <w:tcW w:w="2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Borders>
              <w:top w:val="single" w:sz="8" w:color="929292"/>
            </w:tcBorders>
            <w:shd w:val="clear" w:color="auto" w:fill="DBDBDB"/>
          </w:tcPr>
          <w:p>
            <w:pPr>
              <w:spacing w:after="0"/>
              <w:rPr>
                <w:sz w:val="20"/>
                <w:szCs w:val="20"/>
                <w:color w:val="auto"/>
              </w:rPr>
            </w:pPr>
            <w:r>
              <w:rPr>
                <w:rFonts w:ascii="Arial" w:cs="Arial" w:eastAsia="Arial" w:hAnsi="Arial"/>
                <w:sz w:val="10"/>
                <w:szCs w:val="10"/>
                <w:color w:val="auto"/>
              </w:rPr>
              <w:t>Donald A.</w:t>
            </w:r>
          </w:p>
        </w:tc>
        <w:tc>
          <w:tcPr>
            <w:tcW w:w="80" w:type="dxa"/>
            <w:vAlign w:val="bottom"/>
            <w:tcBorders>
              <w:top w:val="single" w:sz="8" w:color="DBDBDB"/>
            </w:tcBorders>
            <w:shd w:val="clear" w:color="auto" w:fill="DBDBDB"/>
          </w:tcPr>
          <w:p>
            <w:pPr>
              <w:spacing w:after="0"/>
              <w:rPr>
                <w:sz w:val="11"/>
                <w:szCs w:val="11"/>
                <w:color w:val="auto"/>
              </w:rPr>
            </w:pPr>
          </w:p>
        </w:tc>
        <w:tc>
          <w:tcPr>
            <w:tcW w:w="2340" w:type="dxa"/>
            <w:vAlign w:val="bottom"/>
            <w:tcBorders>
              <w:top w:val="single" w:sz="8" w:color="929292"/>
            </w:tcBorders>
            <w:shd w:val="clear" w:color="auto" w:fill="DBDBDB"/>
          </w:tcPr>
          <w:p>
            <w:pPr>
              <w:ind w:left="20"/>
              <w:spacing w:after="0"/>
              <w:rPr>
                <w:sz w:val="20"/>
                <w:szCs w:val="20"/>
                <w:color w:val="auto"/>
              </w:rPr>
            </w:pPr>
            <w:r>
              <w:rPr>
                <w:rFonts w:ascii="Arial" w:cs="Arial" w:eastAsia="Arial" w:hAnsi="Arial"/>
                <w:sz w:val="10"/>
                <w:szCs w:val="10"/>
                <w:color w:val="auto"/>
              </w:rPr>
              <w:t>Cash Severance Payment</w:t>
            </w:r>
          </w:p>
        </w:tc>
        <w:tc>
          <w:tcPr>
            <w:tcW w:w="80" w:type="dxa"/>
            <w:vAlign w:val="bottom"/>
            <w:tcBorders>
              <w:top w:val="single" w:sz="8" w:color="DBDBDB"/>
            </w:tcBorders>
            <w:shd w:val="clear" w:color="auto" w:fill="DBDBDB"/>
          </w:tcPr>
          <w:p>
            <w:pPr>
              <w:spacing w:after="0"/>
              <w:rPr>
                <w:sz w:val="11"/>
                <w:szCs w:val="11"/>
                <w:color w:val="auto"/>
              </w:rPr>
            </w:pPr>
          </w:p>
        </w:tc>
        <w:tc>
          <w:tcPr>
            <w:tcW w:w="2080" w:type="dxa"/>
            <w:vAlign w:val="bottom"/>
            <w:tcBorders>
              <w:top w:val="single" w:sz="8" w:color="929292"/>
            </w:tcBorders>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Borders>
              <w:top w:val="single" w:sz="8" w:color="DBDBDB"/>
            </w:tcBorders>
            <w:shd w:val="clear" w:color="auto" w:fill="DBDBDB"/>
          </w:tcPr>
          <w:p>
            <w:pPr>
              <w:spacing w:after="0"/>
              <w:rPr>
                <w:sz w:val="11"/>
                <w:szCs w:val="11"/>
                <w:color w:val="auto"/>
              </w:rPr>
            </w:pPr>
          </w:p>
        </w:tc>
        <w:tc>
          <w:tcPr>
            <w:tcW w:w="180" w:type="dxa"/>
            <w:vAlign w:val="bottom"/>
            <w:tcBorders>
              <w:top w:val="single" w:sz="8" w:color="DBDBDB"/>
            </w:tcBorders>
            <w:shd w:val="clear" w:color="auto" w:fill="DBDBDB"/>
          </w:tcPr>
          <w:p>
            <w:pPr>
              <w:spacing w:after="0"/>
              <w:rPr>
                <w:sz w:val="11"/>
                <w:szCs w:val="11"/>
                <w:color w:val="auto"/>
              </w:rPr>
            </w:pPr>
          </w:p>
        </w:tc>
        <w:tc>
          <w:tcPr>
            <w:tcW w:w="1720" w:type="dxa"/>
            <w:vAlign w:val="bottom"/>
            <w:tcBorders>
              <w:top w:val="single" w:sz="8" w:color="929292"/>
            </w:tcBorders>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top w:val="single" w:sz="8" w:color="DBDBDB"/>
            </w:tcBorders>
            <w:shd w:val="clear" w:color="auto" w:fill="DBDBDB"/>
          </w:tcPr>
          <w:p>
            <w:pPr>
              <w:spacing w:after="0"/>
              <w:rPr>
                <w:sz w:val="11"/>
                <w:szCs w:val="11"/>
                <w:color w:val="auto"/>
              </w:rPr>
            </w:pPr>
          </w:p>
        </w:tc>
        <w:tc>
          <w:tcPr>
            <w:tcW w:w="1900" w:type="dxa"/>
            <w:vAlign w:val="bottom"/>
            <w:tcBorders>
              <w:top w:val="single" w:sz="8" w:color="929292"/>
            </w:tcBorders>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DBDBDB"/>
          </w:tcPr>
          <w:p>
            <w:pPr>
              <w:spacing w:after="0"/>
              <w:rPr>
                <w:sz w:val="20"/>
                <w:szCs w:val="20"/>
                <w:color w:val="auto"/>
              </w:rPr>
            </w:pPr>
            <w:r>
              <w:rPr>
                <w:rFonts w:ascii="Arial" w:cs="Arial" w:eastAsia="Arial" w:hAnsi="Arial"/>
                <w:sz w:val="10"/>
                <w:szCs w:val="10"/>
                <w:color w:val="auto"/>
              </w:rPr>
              <w:t>Nolan</w:t>
            </w:r>
            <w:r>
              <w:rPr>
                <w:rFonts w:ascii="Arial" w:cs="Arial" w:eastAsia="Arial" w:hAnsi="Arial"/>
                <w:sz w:val="12"/>
                <w:szCs w:val="12"/>
                <w:color w:val="auto"/>
                <w:vertAlign w:val="superscript"/>
              </w:rPr>
              <w:t>(1)</w:t>
            </w:r>
          </w:p>
        </w:tc>
        <w:tc>
          <w:tcPr>
            <w:tcW w:w="80" w:type="dxa"/>
            <w:vAlign w:val="bottom"/>
            <w:shd w:val="clear" w:color="auto" w:fill="DBDBDB"/>
          </w:tcPr>
          <w:p>
            <w:pPr>
              <w:spacing w:after="0"/>
              <w:rPr>
                <w:sz w:val="14"/>
                <w:szCs w:val="14"/>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Health Insurance Benefits</w:t>
            </w:r>
          </w:p>
        </w:tc>
        <w:tc>
          <w:tcPr>
            <w:tcW w:w="80" w:type="dxa"/>
            <w:vAlign w:val="bottom"/>
            <w:shd w:val="clear" w:color="auto" w:fill="DBDBDB"/>
          </w:tcPr>
          <w:p>
            <w:pPr>
              <w:spacing w:after="0"/>
              <w:rPr>
                <w:sz w:val="14"/>
                <w:szCs w:val="14"/>
                <w:color w:val="auto"/>
              </w:rPr>
            </w:pPr>
          </w:p>
        </w:tc>
        <w:tc>
          <w:tcPr>
            <w:tcW w:w="2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4"/>
                <w:szCs w:val="14"/>
                <w:color w:val="auto"/>
              </w:rPr>
            </w:pPr>
          </w:p>
        </w:tc>
        <w:tc>
          <w:tcPr>
            <w:tcW w:w="19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Reimbursement of Legal Costs</w:t>
            </w:r>
          </w:p>
        </w:tc>
        <w:tc>
          <w:tcPr>
            <w:tcW w:w="80" w:type="dxa"/>
            <w:vAlign w:val="bottom"/>
            <w:shd w:val="clear" w:color="auto" w:fill="DBDBDB"/>
          </w:tcPr>
          <w:p>
            <w:pPr>
              <w:spacing w:after="0"/>
              <w:rPr>
                <w:sz w:val="12"/>
                <w:szCs w:val="12"/>
                <w:color w:val="auto"/>
              </w:rPr>
            </w:pPr>
          </w:p>
        </w:tc>
        <w:tc>
          <w:tcPr>
            <w:tcW w:w="2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2"/>
                <w:szCs w:val="12"/>
                <w:color w:val="auto"/>
              </w:rPr>
            </w:pPr>
          </w:p>
        </w:tc>
        <w:tc>
          <w:tcPr>
            <w:tcW w:w="19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Acceleration of Vesting</w:t>
            </w:r>
          </w:p>
        </w:tc>
        <w:tc>
          <w:tcPr>
            <w:tcW w:w="80" w:type="dxa"/>
            <w:vAlign w:val="bottom"/>
            <w:shd w:val="clear" w:color="auto" w:fill="DBDBDB"/>
          </w:tcPr>
          <w:p>
            <w:pPr>
              <w:spacing w:after="0"/>
              <w:rPr>
                <w:sz w:val="13"/>
                <w:szCs w:val="13"/>
                <w:color w:val="auto"/>
              </w:rPr>
            </w:pPr>
          </w:p>
        </w:tc>
        <w:tc>
          <w:tcPr>
            <w:tcW w:w="20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72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90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180"/>
              <w:spacing w:after="0"/>
              <w:rPr>
                <w:sz w:val="20"/>
                <w:szCs w:val="20"/>
                <w:color w:val="auto"/>
              </w:rPr>
            </w:pPr>
            <w:r>
              <w:rPr>
                <w:rFonts w:ascii="Arial" w:cs="Arial" w:eastAsia="Arial" w:hAnsi="Arial"/>
                <w:sz w:val="10"/>
                <w:szCs w:val="10"/>
                <w:color w:val="auto"/>
              </w:rPr>
              <w:t>Restricted Stock</w:t>
            </w:r>
          </w:p>
        </w:tc>
        <w:tc>
          <w:tcPr>
            <w:tcW w:w="80" w:type="dxa"/>
            <w:vAlign w:val="bottom"/>
            <w:shd w:val="clear" w:color="auto" w:fill="DBDBDB"/>
          </w:tcPr>
          <w:p>
            <w:pPr>
              <w:spacing w:after="0"/>
              <w:rPr>
                <w:sz w:val="8"/>
                <w:szCs w:val="8"/>
                <w:color w:val="auto"/>
              </w:rPr>
            </w:pPr>
          </w:p>
        </w:tc>
        <w:tc>
          <w:tcPr>
            <w:tcW w:w="2080" w:type="dxa"/>
            <w:vAlign w:val="bottom"/>
            <w:vMerge w:val="restart"/>
            <w:shd w:val="clear" w:color="auto" w:fill="DBDBDB"/>
          </w:tcPr>
          <w:p>
            <w:pPr>
              <w:jc w:val="right"/>
              <w:ind w:right="171"/>
              <w:spacing w:after="0"/>
              <w:rPr>
                <w:sz w:val="20"/>
                <w:szCs w:val="20"/>
                <w:color w:val="auto"/>
              </w:rPr>
            </w:pPr>
            <w:r>
              <w:rPr>
                <w:rFonts w:ascii="Arial" w:cs="Arial" w:eastAsia="Arial" w:hAnsi="Arial"/>
                <w:sz w:val="10"/>
                <w:szCs w:val="10"/>
                <w:color w:val="auto"/>
              </w:rPr>
              <w:t>1,960,737</w:t>
            </w:r>
          </w:p>
        </w:tc>
        <w:tc>
          <w:tcPr>
            <w:tcW w:w="160" w:type="dxa"/>
            <w:vAlign w:val="bottom"/>
            <w:shd w:val="clear" w:color="auto" w:fill="DBDBDB"/>
          </w:tcPr>
          <w:p>
            <w:pPr>
              <w:jc w:val="right"/>
              <w:ind w:right="49"/>
              <w:spacing w:after="0"/>
              <w:rPr>
                <w:sz w:val="20"/>
                <w:szCs w:val="20"/>
                <w:color w:val="auto"/>
              </w:rPr>
            </w:pPr>
            <w:r>
              <w:rPr>
                <w:rFonts w:ascii="Arial" w:cs="Arial" w:eastAsia="Arial" w:hAnsi="Arial"/>
                <w:sz w:val="6"/>
                <w:szCs w:val="6"/>
                <w:color w:val="auto"/>
                <w:w w:val="81"/>
              </w:rPr>
              <w:t>(2)</w:t>
            </w:r>
          </w:p>
        </w:tc>
        <w:tc>
          <w:tcPr>
            <w:tcW w:w="18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right"/>
              <w:ind w:right="111"/>
              <w:spacing w:after="0"/>
              <w:rPr>
                <w:sz w:val="20"/>
                <w:szCs w:val="20"/>
                <w:color w:val="auto"/>
              </w:rPr>
            </w:pPr>
            <w:r>
              <w:rPr>
                <w:rFonts w:ascii="Arial" w:cs="Arial" w:eastAsia="Arial" w:hAnsi="Arial"/>
                <w:sz w:val="10"/>
                <w:szCs w:val="10"/>
                <w:color w:val="auto"/>
              </w:rPr>
              <w:t>1,960,737</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(2)</w:t>
            </w:r>
          </w:p>
        </w:tc>
        <w:tc>
          <w:tcPr>
            <w:tcW w:w="1900" w:type="dxa"/>
            <w:vAlign w:val="bottom"/>
            <w:vMerge w:val="restart"/>
            <w:shd w:val="clear" w:color="auto" w:fill="DBDBDB"/>
          </w:tcPr>
          <w:p>
            <w:pPr>
              <w:jc w:val="right"/>
              <w:ind w:right="110"/>
              <w:spacing w:after="0"/>
              <w:rPr>
                <w:sz w:val="20"/>
                <w:szCs w:val="20"/>
                <w:color w:val="auto"/>
              </w:rPr>
            </w:pPr>
            <w:r>
              <w:rPr>
                <w:rFonts w:ascii="Arial" w:cs="Arial" w:eastAsia="Arial" w:hAnsi="Arial"/>
                <w:sz w:val="10"/>
                <w:szCs w:val="10"/>
                <w:color w:val="auto"/>
              </w:rPr>
              <w:t>1,960,737</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(2)</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80" w:type="dxa"/>
            <w:vAlign w:val="bottom"/>
            <w:vMerge w:val="continue"/>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340" w:type="dxa"/>
            <w:vAlign w:val="bottom"/>
            <w:shd w:val="clear" w:color="auto" w:fill="DBDBDB"/>
          </w:tcPr>
          <w:p>
            <w:pPr>
              <w:ind w:left="180"/>
              <w:spacing w:after="0"/>
              <w:rPr>
                <w:sz w:val="20"/>
                <w:szCs w:val="20"/>
                <w:color w:val="auto"/>
              </w:rPr>
            </w:pPr>
            <w:r>
              <w:rPr>
                <w:rFonts w:ascii="Arial" w:cs="Arial" w:eastAsia="Arial" w:hAnsi="Arial"/>
                <w:sz w:val="10"/>
                <w:szCs w:val="10"/>
                <w:color w:val="auto"/>
              </w:rPr>
              <w:t>Performance Awards</w:t>
            </w:r>
          </w:p>
        </w:tc>
        <w:tc>
          <w:tcPr>
            <w:tcW w:w="80" w:type="dxa"/>
            <w:vAlign w:val="bottom"/>
            <w:shd w:val="clear" w:color="auto" w:fill="DBDBDB"/>
          </w:tcPr>
          <w:p>
            <w:pPr>
              <w:spacing w:after="0"/>
              <w:rPr>
                <w:sz w:val="13"/>
                <w:szCs w:val="13"/>
                <w:color w:val="auto"/>
              </w:rPr>
            </w:pPr>
          </w:p>
        </w:tc>
        <w:tc>
          <w:tcPr>
            <w:tcW w:w="2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3"/>
                <w:szCs w:val="13"/>
                <w:color w:val="auto"/>
              </w:rPr>
            </w:pPr>
          </w:p>
        </w:tc>
        <w:tc>
          <w:tcPr>
            <w:tcW w:w="19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20"/>
              <w:spacing w:after="0"/>
              <w:rPr>
                <w:sz w:val="20"/>
                <w:szCs w:val="20"/>
                <w:color w:val="auto"/>
              </w:rPr>
            </w:pPr>
            <w:r>
              <w:rPr>
                <w:rFonts w:ascii="Arial" w:cs="Arial" w:eastAsia="Arial" w:hAnsi="Arial"/>
                <w:sz w:val="10"/>
                <w:szCs w:val="10"/>
                <w:color w:val="auto"/>
              </w:rPr>
              <w:t>Disability Payments</w:t>
            </w:r>
          </w:p>
        </w:tc>
        <w:tc>
          <w:tcPr>
            <w:tcW w:w="80" w:type="dxa"/>
            <w:vAlign w:val="bottom"/>
            <w:shd w:val="clear" w:color="auto" w:fill="DBDBDB"/>
          </w:tcPr>
          <w:p>
            <w:pPr>
              <w:spacing w:after="0"/>
              <w:rPr>
                <w:sz w:val="8"/>
                <w:szCs w:val="8"/>
                <w:color w:val="auto"/>
              </w:rPr>
            </w:pPr>
          </w:p>
        </w:tc>
        <w:tc>
          <w:tcPr>
            <w:tcW w:w="2080" w:type="dxa"/>
            <w:vAlign w:val="bottom"/>
            <w:vMerge w:val="restart"/>
            <w:shd w:val="clear" w:color="auto" w:fill="DBDBDB"/>
          </w:tcPr>
          <w:p>
            <w:pPr>
              <w:jc w:val="right"/>
              <w:ind w:right="171"/>
              <w:spacing w:after="0"/>
              <w:rPr>
                <w:sz w:val="20"/>
                <w:szCs w:val="20"/>
                <w:color w:val="auto"/>
              </w:rPr>
            </w:pPr>
            <w:r>
              <w:rPr>
                <w:rFonts w:ascii="Arial" w:cs="Arial" w:eastAsia="Arial" w:hAnsi="Arial"/>
                <w:sz w:val="10"/>
                <w:szCs w:val="10"/>
                <w:color w:val="auto"/>
              </w:rPr>
              <w:t>366,249</w:t>
            </w:r>
          </w:p>
        </w:tc>
        <w:tc>
          <w:tcPr>
            <w:tcW w:w="160" w:type="dxa"/>
            <w:vAlign w:val="bottom"/>
            <w:shd w:val="clear" w:color="auto" w:fill="DBDBDB"/>
          </w:tcPr>
          <w:p>
            <w:pPr>
              <w:jc w:val="right"/>
              <w:ind w:right="49"/>
              <w:spacing w:after="0"/>
              <w:rPr>
                <w:sz w:val="20"/>
                <w:szCs w:val="20"/>
                <w:color w:val="auto"/>
              </w:rPr>
            </w:pPr>
            <w:r>
              <w:rPr>
                <w:rFonts w:ascii="Arial" w:cs="Arial" w:eastAsia="Arial" w:hAnsi="Arial"/>
                <w:sz w:val="6"/>
                <w:szCs w:val="6"/>
                <w:color w:val="auto"/>
                <w:w w:val="81"/>
              </w:rPr>
              <w:t>(3)</w:t>
            </w:r>
          </w:p>
        </w:tc>
        <w:tc>
          <w:tcPr>
            <w:tcW w:w="18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8"/>
                <w:szCs w:val="8"/>
                <w:color w:val="auto"/>
              </w:rPr>
            </w:pPr>
          </w:p>
        </w:tc>
        <w:tc>
          <w:tcPr>
            <w:tcW w:w="19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200" w:type="dxa"/>
            <w:vAlign w:val="bottom"/>
            <w:tcBorders>
              <w:bottom w:val="single" w:sz="8" w:color="DBDBDB"/>
            </w:tcBorders>
            <w:shd w:val="clear" w:color="auto" w:fill="DBDBDB"/>
          </w:tcPr>
          <w:p>
            <w:pPr>
              <w:spacing w:after="0"/>
              <w:rPr>
                <w:sz w:val="5"/>
                <w:szCs w:val="5"/>
                <w:color w:val="auto"/>
              </w:rPr>
            </w:pPr>
          </w:p>
        </w:tc>
        <w:tc>
          <w:tcPr>
            <w:tcW w:w="80" w:type="dxa"/>
            <w:vAlign w:val="bottom"/>
            <w:tcBorders>
              <w:bottom w:val="single" w:sz="8" w:color="DBDBDB"/>
            </w:tcBorders>
            <w:shd w:val="clear" w:color="auto" w:fill="DBDBDB"/>
          </w:tcPr>
          <w:p>
            <w:pPr>
              <w:spacing w:after="0"/>
              <w:rPr>
                <w:sz w:val="5"/>
                <w:szCs w:val="5"/>
                <w:color w:val="auto"/>
              </w:rPr>
            </w:pPr>
          </w:p>
        </w:tc>
        <w:tc>
          <w:tcPr>
            <w:tcW w:w="2340" w:type="dxa"/>
            <w:vAlign w:val="bottom"/>
            <w:tcBorders>
              <w:bottom w:val="single" w:sz="8" w:color="DBDBDB"/>
            </w:tcBorders>
            <w:vMerge w:val="continue"/>
            <w:shd w:val="clear" w:color="auto" w:fill="DBDBDB"/>
          </w:tcPr>
          <w:p>
            <w:pPr>
              <w:spacing w:after="0"/>
              <w:rPr>
                <w:sz w:val="5"/>
                <w:szCs w:val="5"/>
                <w:color w:val="auto"/>
              </w:rPr>
            </w:pPr>
          </w:p>
        </w:tc>
        <w:tc>
          <w:tcPr>
            <w:tcW w:w="80" w:type="dxa"/>
            <w:vAlign w:val="bottom"/>
            <w:tcBorders>
              <w:bottom w:val="single" w:sz="8" w:color="DBDBDB"/>
            </w:tcBorders>
            <w:shd w:val="clear" w:color="auto" w:fill="DBDBDB"/>
          </w:tcPr>
          <w:p>
            <w:pPr>
              <w:spacing w:after="0"/>
              <w:rPr>
                <w:sz w:val="5"/>
                <w:szCs w:val="5"/>
                <w:color w:val="auto"/>
              </w:rPr>
            </w:pPr>
          </w:p>
        </w:tc>
        <w:tc>
          <w:tcPr>
            <w:tcW w:w="2080" w:type="dxa"/>
            <w:vAlign w:val="bottom"/>
            <w:tcBorders>
              <w:bottom w:val="single" w:sz="8" w:color="auto"/>
            </w:tcBorders>
            <w:vMerge w:val="continue"/>
            <w:shd w:val="clear" w:color="auto" w:fill="DBDBDB"/>
          </w:tcPr>
          <w:p>
            <w:pPr>
              <w:spacing w:after="0"/>
              <w:rPr>
                <w:sz w:val="5"/>
                <w:szCs w:val="5"/>
                <w:color w:val="auto"/>
              </w:rPr>
            </w:pPr>
          </w:p>
        </w:tc>
        <w:tc>
          <w:tcPr>
            <w:tcW w:w="160" w:type="dxa"/>
            <w:vAlign w:val="bottom"/>
            <w:tcBorders>
              <w:bottom w:val="single" w:sz="8" w:color="DBDBDB"/>
            </w:tcBorders>
            <w:shd w:val="clear" w:color="auto" w:fill="DBDBDB"/>
          </w:tcPr>
          <w:p>
            <w:pPr>
              <w:spacing w:after="0"/>
              <w:rPr>
                <w:sz w:val="5"/>
                <w:szCs w:val="5"/>
                <w:color w:val="auto"/>
              </w:rPr>
            </w:pPr>
          </w:p>
        </w:tc>
        <w:tc>
          <w:tcPr>
            <w:tcW w:w="180" w:type="dxa"/>
            <w:vAlign w:val="bottom"/>
            <w:tcBorders>
              <w:bottom w:val="single" w:sz="8" w:color="DBDBDB"/>
            </w:tcBorders>
            <w:shd w:val="clear" w:color="auto" w:fill="DBDBDB"/>
          </w:tcPr>
          <w:p>
            <w:pPr>
              <w:spacing w:after="0"/>
              <w:rPr>
                <w:sz w:val="5"/>
                <w:szCs w:val="5"/>
                <w:color w:val="auto"/>
              </w:rPr>
            </w:pPr>
          </w:p>
        </w:tc>
        <w:tc>
          <w:tcPr>
            <w:tcW w:w="1720" w:type="dxa"/>
            <w:vAlign w:val="bottom"/>
            <w:tcBorders>
              <w:bottom w:val="single" w:sz="8" w:color="auto"/>
            </w:tcBorders>
            <w:vMerge w:val="continue"/>
            <w:shd w:val="clear" w:color="auto" w:fill="DBDBDB"/>
          </w:tcPr>
          <w:p>
            <w:pPr>
              <w:spacing w:after="0"/>
              <w:rPr>
                <w:sz w:val="5"/>
                <w:szCs w:val="5"/>
                <w:color w:val="auto"/>
              </w:rPr>
            </w:pPr>
          </w:p>
        </w:tc>
        <w:tc>
          <w:tcPr>
            <w:tcW w:w="280" w:type="dxa"/>
            <w:vAlign w:val="bottom"/>
            <w:tcBorders>
              <w:bottom w:val="single" w:sz="8" w:color="DBDBDB"/>
            </w:tcBorders>
            <w:shd w:val="clear" w:color="auto" w:fill="DBDBDB"/>
          </w:tcPr>
          <w:p>
            <w:pPr>
              <w:spacing w:after="0"/>
              <w:rPr>
                <w:sz w:val="5"/>
                <w:szCs w:val="5"/>
                <w:color w:val="auto"/>
              </w:rPr>
            </w:pPr>
          </w:p>
        </w:tc>
        <w:tc>
          <w:tcPr>
            <w:tcW w:w="1900" w:type="dxa"/>
            <w:vAlign w:val="bottom"/>
            <w:tcBorders>
              <w:bottom w:val="single" w:sz="8" w:color="auto"/>
            </w:tcBorders>
            <w:vMerge w:val="continue"/>
            <w:shd w:val="clear" w:color="auto" w:fill="DBDBDB"/>
          </w:tcPr>
          <w:p>
            <w:pPr>
              <w:spacing w:after="0"/>
              <w:rPr>
                <w:sz w:val="5"/>
                <w:szCs w:val="5"/>
                <w:color w:val="auto"/>
              </w:rPr>
            </w:pPr>
          </w:p>
        </w:tc>
        <w:tc>
          <w:tcPr>
            <w:tcW w:w="280" w:type="dxa"/>
            <w:vAlign w:val="bottom"/>
            <w:tcBorders>
              <w:bottom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20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234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DBDBDB"/>
            </w:tcBorders>
            <w:shd w:val="clear" w:color="auto" w:fill="DBDBDB"/>
          </w:tcPr>
          <w:p>
            <w:pPr>
              <w:spacing w:after="0"/>
              <w:rPr>
                <w:sz w:val="14"/>
                <w:szCs w:val="14"/>
                <w:color w:val="auto"/>
              </w:rPr>
            </w:pPr>
          </w:p>
        </w:tc>
        <w:tc>
          <w:tcPr>
            <w:tcW w:w="2080" w:type="dxa"/>
            <w:vAlign w:val="bottom"/>
            <w:tcBorders>
              <w:bottom w:val="single" w:sz="8" w:color="auto"/>
            </w:tcBorders>
            <w:shd w:val="clear" w:color="auto" w:fill="DBDBDB"/>
          </w:tcPr>
          <w:p>
            <w:pPr>
              <w:jc w:val="right"/>
              <w:ind w:right="171"/>
              <w:spacing w:after="0"/>
              <w:rPr>
                <w:sz w:val="20"/>
                <w:szCs w:val="20"/>
                <w:color w:val="auto"/>
              </w:rPr>
            </w:pPr>
            <w:r>
              <w:rPr>
                <w:rFonts w:ascii="Arial" w:cs="Arial" w:eastAsia="Arial" w:hAnsi="Arial"/>
                <w:sz w:val="10"/>
                <w:szCs w:val="10"/>
                <w:color w:val="auto"/>
              </w:rPr>
              <w:t>2,326,986</w:t>
            </w:r>
          </w:p>
        </w:tc>
        <w:tc>
          <w:tcPr>
            <w:tcW w:w="16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720" w:type="dxa"/>
            <w:vAlign w:val="bottom"/>
            <w:tcBorders>
              <w:bottom w:val="single" w:sz="8" w:color="auto"/>
            </w:tcBorders>
            <w:shd w:val="clear" w:color="auto" w:fill="DBDBDB"/>
          </w:tcPr>
          <w:p>
            <w:pPr>
              <w:jc w:val="right"/>
              <w:ind w:right="111"/>
              <w:spacing w:after="0"/>
              <w:rPr>
                <w:sz w:val="20"/>
                <w:szCs w:val="20"/>
                <w:color w:val="auto"/>
              </w:rPr>
            </w:pPr>
            <w:r>
              <w:rPr>
                <w:rFonts w:ascii="Arial" w:cs="Arial" w:eastAsia="Arial" w:hAnsi="Arial"/>
                <w:sz w:val="10"/>
                <w:szCs w:val="10"/>
                <w:color w:val="auto"/>
              </w:rPr>
              <w:t>1,960,737</w:t>
            </w:r>
          </w:p>
        </w:tc>
        <w:tc>
          <w:tcPr>
            <w:tcW w:w="280" w:type="dxa"/>
            <w:vAlign w:val="bottom"/>
            <w:tcBorders>
              <w:bottom w:val="single" w:sz="8" w:color="DBDBDB"/>
            </w:tcBorders>
            <w:shd w:val="clear" w:color="auto" w:fill="DBDBDB"/>
          </w:tcPr>
          <w:p>
            <w:pPr>
              <w:spacing w:after="0"/>
              <w:rPr>
                <w:sz w:val="14"/>
                <w:szCs w:val="14"/>
                <w:color w:val="auto"/>
              </w:rPr>
            </w:pPr>
          </w:p>
        </w:tc>
        <w:tc>
          <w:tcPr>
            <w:tcW w:w="19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0"/>
                <w:szCs w:val="10"/>
                <w:color w:val="auto"/>
              </w:rPr>
              <w:t>1,960,737</w:t>
            </w:r>
          </w:p>
        </w:tc>
        <w:tc>
          <w:tcPr>
            <w:tcW w:w="28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200" w:type="dxa"/>
            <w:vAlign w:val="bottom"/>
            <w:vMerge w:val="restart"/>
          </w:tcPr>
          <w:p>
            <w:pPr>
              <w:spacing w:after="0"/>
              <w:rPr>
                <w:sz w:val="20"/>
                <w:szCs w:val="20"/>
                <w:color w:val="auto"/>
              </w:rPr>
            </w:pPr>
            <w:r>
              <w:rPr>
                <w:rFonts w:ascii="Arial" w:cs="Arial" w:eastAsia="Arial" w:hAnsi="Arial"/>
                <w:sz w:val="10"/>
                <w:szCs w:val="10"/>
                <w:color w:val="auto"/>
              </w:rPr>
              <w:t>Mark R.</w:t>
            </w:r>
          </w:p>
        </w:tc>
        <w:tc>
          <w:tcPr>
            <w:tcW w:w="80" w:type="dxa"/>
            <w:vAlign w:val="bottom"/>
          </w:tcPr>
          <w:p>
            <w:pPr>
              <w:spacing w:after="0"/>
              <w:rPr>
                <w:sz w:val="5"/>
                <w:szCs w:val="5"/>
                <w:color w:val="auto"/>
              </w:rPr>
            </w:pPr>
          </w:p>
        </w:tc>
        <w:tc>
          <w:tcPr>
            <w:tcW w:w="2340" w:type="dxa"/>
            <w:vAlign w:val="bottom"/>
            <w:vMerge w:val="restart"/>
          </w:tcPr>
          <w:p>
            <w:pPr>
              <w:ind w:left="20"/>
              <w:spacing w:after="0"/>
              <w:rPr>
                <w:sz w:val="20"/>
                <w:szCs w:val="20"/>
                <w:color w:val="auto"/>
              </w:rPr>
            </w:pPr>
            <w:r>
              <w:rPr>
                <w:rFonts w:ascii="Arial" w:cs="Arial" w:eastAsia="Arial" w:hAnsi="Arial"/>
                <w:sz w:val="10"/>
                <w:szCs w:val="10"/>
                <w:color w:val="auto"/>
              </w:rPr>
              <w:t>Cash Severance Payment</w:t>
            </w:r>
          </w:p>
        </w:tc>
        <w:tc>
          <w:tcPr>
            <w:tcW w:w="80" w:type="dxa"/>
            <w:vAlign w:val="bottom"/>
          </w:tcPr>
          <w:p>
            <w:pPr>
              <w:spacing w:after="0"/>
              <w:rPr>
                <w:sz w:val="5"/>
                <w:szCs w:val="5"/>
                <w:color w:val="auto"/>
              </w:rPr>
            </w:pPr>
          </w:p>
        </w:tc>
        <w:tc>
          <w:tcPr>
            <w:tcW w:w="20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5"/>
                <w:szCs w:val="5"/>
                <w:color w:val="auto"/>
              </w:rPr>
            </w:pPr>
          </w:p>
        </w:tc>
        <w:tc>
          <w:tcPr>
            <w:tcW w:w="1900" w:type="dxa"/>
            <w:vAlign w:val="bottom"/>
            <w:vMerge w:val="restart"/>
          </w:tcPr>
          <w:p>
            <w:pPr>
              <w:jc w:val="right"/>
              <w:ind w:right="110"/>
              <w:spacing w:after="0"/>
              <w:rPr>
                <w:sz w:val="20"/>
                <w:szCs w:val="20"/>
                <w:color w:val="auto"/>
              </w:rPr>
            </w:pPr>
            <w:r>
              <w:rPr>
                <w:rFonts w:ascii="Arial" w:cs="Arial" w:eastAsia="Arial" w:hAnsi="Arial"/>
                <w:sz w:val="10"/>
                <w:szCs w:val="10"/>
                <w:color w:val="auto"/>
              </w:rPr>
              <w:t>1,925,000</w:t>
            </w:r>
          </w:p>
        </w:tc>
        <w:tc>
          <w:tcPr>
            <w:tcW w:w="280" w:type="dxa"/>
            <w:vAlign w:val="bottom"/>
          </w:tcPr>
          <w:p>
            <w:pPr>
              <w:jc w:val="right"/>
              <w:ind w:right="169"/>
              <w:spacing w:after="0" w:line="63" w:lineRule="exact"/>
              <w:rPr>
                <w:sz w:val="20"/>
                <w:szCs w:val="20"/>
                <w:color w:val="auto"/>
              </w:rPr>
            </w:pPr>
            <w:r>
              <w:rPr>
                <w:rFonts w:ascii="Arial" w:cs="Arial" w:eastAsia="Arial" w:hAnsi="Arial"/>
                <w:sz w:val="6"/>
                <w:szCs w:val="6"/>
                <w:color w:val="auto"/>
                <w:w w:val="81"/>
              </w:rPr>
              <w:t>(4)</w:t>
            </w:r>
          </w:p>
        </w:tc>
        <w:tc>
          <w:tcPr>
            <w:tcW w:w="0" w:type="dxa"/>
            <w:vAlign w:val="bottom"/>
          </w:tcPr>
          <w:p>
            <w:pPr>
              <w:spacing w:after="0"/>
              <w:rPr>
                <w:sz w:val="1"/>
                <w:szCs w:val="1"/>
                <w:color w:val="auto"/>
              </w:rPr>
            </w:pPr>
          </w:p>
        </w:tc>
      </w:tr>
      <w:tr>
        <w:trPr>
          <w:trHeight w:val="73"/>
        </w:trPr>
        <w:tc>
          <w:tcPr>
            <w:tcW w:w="2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20"/>
                <w:szCs w:val="20"/>
                <w:color w:val="auto"/>
              </w:rPr>
            </w:pPr>
            <w:r>
              <w:rPr>
                <w:rFonts w:ascii="Arial" w:cs="Arial" w:eastAsia="Arial" w:hAnsi="Arial"/>
                <w:sz w:val="10"/>
                <w:szCs w:val="10"/>
                <w:color w:val="auto"/>
              </w:rPr>
              <w:t>Augdahl</w:t>
            </w:r>
          </w:p>
        </w:tc>
        <w:tc>
          <w:tcPr>
            <w:tcW w:w="8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0"/>
                <w:szCs w:val="10"/>
                <w:color w:val="auto"/>
              </w:rPr>
              <w:t>Health Insurance Benefits</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13"/>
                <w:szCs w:val="13"/>
                <w:color w:val="auto"/>
              </w:rPr>
            </w:pP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10,662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ind w:left="20"/>
              <w:spacing w:after="0"/>
              <w:rPr>
                <w:sz w:val="20"/>
                <w:szCs w:val="20"/>
                <w:color w:val="auto"/>
              </w:rPr>
            </w:pPr>
            <w:r>
              <w:rPr>
                <w:rFonts w:ascii="Arial" w:cs="Arial" w:eastAsia="Arial" w:hAnsi="Arial"/>
                <w:sz w:val="10"/>
                <w:szCs w:val="10"/>
                <w:color w:val="auto"/>
              </w:rPr>
              <w:t>Reimbursement of Legal Costs</w:t>
            </w:r>
          </w:p>
        </w:tc>
        <w:tc>
          <w:tcPr>
            <w:tcW w:w="80" w:type="dxa"/>
            <w:vAlign w:val="bottom"/>
          </w:tcPr>
          <w:p>
            <w:pPr>
              <w:spacing w:after="0"/>
              <w:rPr>
                <w:sz w:val="8"/>
                <w:szCs w:val="8"/>
                <w:color w:val="auto"/>
              </w:rPr>
            </w:pPr>
          </w:p>
        </w:tc>
        <w:tc>
          <w:tcPr>
            <w:tcW w:w="20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8"/>
                <w:szCs w:val="8"/>
                <w:color w:val="auto"/>
              </w:rPr>
            </w:pPr>
          </w:p>
        </w:tc>
        <w:tc>
          <w:tcPr>
            <w:tcW w:w="19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55"/>
        </w:trPr>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0"/>
                <w:szCs w:val="10"/>
                <w:color w:val="auto"/>
              </w:rPr>
              <w:t>Acceleration of Vesting</w:t>
            </w: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ind w:left="180"/>
              <w:spacing w:after="0"/>
              <w:rPr>
                <w:sz w:val="20"/>
                <w:szCs w:val="20"/>
                <w:color w:val="auto"/>
              </w:rPr>
            </w:pPr>
            <w:r>
              <w:rPr>
                <w:rFonts w:ascii="Arial" w:cs="Arial" w:eastAsia="Arial" w:hAnsi="Arial"/>
                <w:sz w:val="10"/>
                <w:szCs w:val="10"/>
                <w:color w:val="auto"/>
              </w:rPr>
              <w:t>Restricted Stock</w:t>
            </w:r>
          </w:p>
        </w:tc>
        <w:tc>
          <w:tcPr>
            <w:tcW w:w="2160" w:type="dxa"/>
            <w:vAlign w:val="bottom"/>
            <w:gridSpan w:val="2"/>
            <w:vMerge w:val="restart"/>
          </w:tcPr>
          <w:p>
            <w:pPr>
              <w:jc w:val="right"/>
              <w:ind w:right="171"/>
              <w:spacing w:after="0"/>
              <w:rPr>
                <w:sz w:val="20"/>
                <w:szCs w:val="20"/>
                <w:color w:val="auto"/>
              </w:rPr>
            </w:pPr>
            <w:r>
              <w:rPr>
                <w:rFonts w:ascii="Arial" w:cs="Arial" w:eastAsia="Arial" w:hAnsi="Arial"/>
                <w:sz w:val="10"/>
                <w:szCs w:val="10"/>
                <w:color w:val="auto"/>
              </w:rPr>
              <w:t>1,061,044</w:t>
            </w:r>
          </w:p>
        </w:tc>
        <w:tc>
          <w:tcPr>
            <w:tcW w:w="160" w:type="dxa"/>
            <w:vAlign w:val="bottom"/>
          </w:tcPr>
          <w:p>
            <w:pPr>
              <w:jc w:val="right"/>
              <w:ind w:right="49"/>
              <w:spacing w:after="0"/>
              <w:rPr>
                <w:sz w:val="20"/>
                <w:szCs w:val="20"/>
                <w:color w:val="auto"/>
              </w:rPr>
            </w:pPr>
            <w:r>
              <w:rPr>
                <w:rFonts w:ascii="Arial" w:cs="Arial" w:eastAsia="Arial" w:hAnsi="Arial"/>
                <w:sz w:val="6"/>
                <w:szCs w:val="6"/>
                <w:color w:val="auto"/>
                <w:w w:val="81"/>
              </w:rPr>
              <w:t>(2)</w:t>
            </w:r>
          </w:p>
        </w:tc>
        <w:tc>
          <w:tcPr>
            <w:tcW w:w="180" w:type="dxa"/>
            <w:vAlign w:val="bottom"/>
          </w:tcPr>
          <w:p>
            <w:pPr>
              <w:spacing w:after="0"/>
              <w:rPr>
                <w:sz w:val="8"/>
                <w:szCs w:val="8"/>
                <w:color w:val="auto"/>
              </w:rPr>
            </w:pPr>
          </w:p>
        </w:tc>
        <w:tc>
          <w:tcPr>
            <w:tcW w:w="1720" w:type="dxa"/>
            <w:vAlign w:val="bottom"/>
            <w:vMerge w:val="restart"/>
          </w:tcPr>
          <w:p>
            <w:pPr>
              <w:jc w:val="right"/>
              <w:ind w:right="111"/>
              <w:spacing w:after="0"/>
              <w:rPr>
                <w:sz w:val="20"/>
                <w:szCs w:val="20"/>
                <w:color w:val="auto"/>
              </w:rPr>
            </w:pPr>
            <w:r>
              <w:rPr>
                <w:rFonts w:ascii="Arial" w:cs="Arial" w:eastAsia="Arial" w:hAnsi="Arial"/>
                <w:sz w:val="10"/>
                <w:szCs w:val="10"/>
                <w:color w:val="auto"/>
              </w:rPr>
              <w:t>1,061,044</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(2)</w:t>
            </w:r>
          </w:p>
        </w:tc>
        <w:tc>
          <w:tcPr>
            <w:tcW w:w="1900" w:type="dxa"/>
            <w:vAlign w:val="bottom"/>
            <w:vMerge w:val="restart"/>
          </w:tcPr>
          <w:p>
            <w:pPr>
              <w:jc w:val="right"/>
              <w:ind w:right="110"/>
              <w:spacing w:after="0"/>
              <w:rPr>
                <w:sz w:val="20"/>
                <w:szCs w:val="20"/>
                <w:color w:val="auto"/>
              </w:rPr>
            </w:pPr>
            <w:r>
              <w:rPr>
                <w:rFonts w:ascii="Arial" w:cs="Arial" w:eastAsia="Arial" w:hAnsi="Arial"/>
                <w:sz w:val="10"/>
                <w:szCs w:val="10"/>
                <w:color w:val="auto"/>
              </w:rPr>
              <w:t>1,061,044</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(2)</w:t>
            </w:r>
          </w:p>
        </w:tc>
        <w:tc>
          <w:tcPr>
            <w:tcW w:w="0" w:type="dxa"/>
            <w:vAlign w:val="bottom"/>
          </w:tcPr>
          <w:p>
            <w:pPr>
              <w:spacing w:after="0"/>
              <w:rPr>
                <w:sz w:val="1"/>
                <w:szCs w:val="1"/>
                <w:color w:val="auto"/>
              </w:rPr>
            </w:pPr>
          </w:p>
        </w:tc>
      </w:tr>
      <w:tr>
        <w:trPr>
          <w:trHeight w:val="55"/>
        </w:trPr>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2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ind w:left="180"/>
              <w:spacing w:after="0"/>
              <w:rPr>
                <w:sz w:val="20"/>
                <w:szCs w:val="20"/>
                <w:color w:val="auto"/>
              </w:rPr>
            </w:pPr>
            <w:r>
              <w:rPr>
                <w:rFonts w:ascii="Arial" w:cs="Arial" w:eastAsia="Arial" w:hAnsi="Arial"/>
                <w:sz w:val="10"/>
                <w:szCs w:val="10"/>
                <w:color w:val="auto"/>
              </w:rPr>
              <w:t>Performance Awards</w:t>
            </w:r>
          </w:p>
        </w:tc>
        <w:tc>
          <w:tcPr>
            <w:tcW w:w="80" w:type="dxa"/>
            <w:vAlign w:val="bottom"/>
          </w:tcPr>
          <w:p>
            <w:pPr>
              <w:spacing w:after="0"/>
              <w:rPr>
                <w:sz w:val="8"/>
                <w:szCs w:val="8"/>
                <w:color w:val="auto"/>
              </w:rPr>
            </w:pPr>
          </w:p>
        </w:tc>
        <w:tc>
          <w:tcPr>
            <w:tcW w:w="20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jc w:val="right"/>
              <w:ind w:right="49"/>
              <w:spacing w:after="0"/>
              <w:rPr>
                <w:sz w:val="20"/>
                <w:szCs w:val="20"/>
                <w:color w:val="auto"/>
              </w:rPr>
            </w:pPr>
            <w:r>
              <w:rPr>
                <w:rFonts w:ascii="Arial" w:cs="Arial" w:eastAsia="Arial" w:hAnsi="Arial"/>
                <w:sz w:val="6"/>
                <w:szCs w:val="6"/>
                <w:color w:val="auto"/>
                <w:w w:val="81"/>
              </w:rPr>
              <w:t>(6)</w:t>
            </w:r>
          </w:p>
        </w:tc>
        <w:tc>
          <w:tcPr>
            <w:tcW w:w="180" w:type="dxa"/>
            <w:vAlign w:val="bottom"/>
          </w:tcPr>
          <w:p>
            <w:pPr>
              <w:spacing w:after="0"/>
              <w:rPr>
                <w:sz w:val="8"/>
                <w:szCs w:val="8"/>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(6)</w:t>
            </w:r>
          </w:p>
        </w:tc>
        <w:tc>
          <w:tcPr>
            <w:tcW w:w="1900" w:type="dxa"/>
            <w:vAlign w:val="bottom"/>
            <w:vMerge w:val="restart"/>
          </w:tcPr>
          <w:p>
            <w:pPr>
              <w:jc w:val="right"/>
              <w:ind w:right="110"/>
              <w:spacing w:after="0"/>
              <w:rPr>
                <w:sz w:val="20"/>
                <w:szCs w:val="20"/>
                <w:color w:val="auto"/>
              </w:rPr>
            </w:pPr>
            <w:r>
              <w:rPr>
                <w:rFonts w:ascii="Arial" w:cs="Arial" w:eastAsia="Arial" w:hAnsi="Arial"/>
                <w:sz w:val="10"/>
                <w:szCs w:val="10"/>
                <w:color w:val="auto"/>
              </w:rPr>
              <w:t>396,210</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(7)</w:t>
            </w:r>
          </w:p>
        </w:tc>
        <w:tc>
          <w:tcPr>
            <w:tcW w:w="0" w:type="dxa"/>
            <w:vAlign w:val="bottom"/>
          </w:tcPr>
          <w:p>
            <w:pPr>
              <w:spacing w:after="0"/>
              <w:rPr>
                <w:sz w:val="1"/>
                <w:szCs w:val="1"/>
                <w:color w:val="auto"/>
              </w:rPr>
            </w:pPr>
          </w:p>
        </w:tc>
      </w:tr>
      <w:tr>
        <w:trPr>
          <w:trHeight w:val="55"/>
        </w:trPr>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ind w:left="20"/>
              <w:spacing w:after="0"/>
              <w:rPr>
                <w:sz w:val="20"/>
                <w:szCs w:val="20"/>
                <w:color w:val="auto"/>
              </w:rPr>
            </w:pPr>
            <w:r>
              <w:rPr>
                <w:rFonts w:ascii="Arial" w:cs="Arial" w:eastAsia="Arial" w:hAnsi="Arial"/>
                <w:sz w:val="10"/>
                <w:szCs w:val="10"/>
                <w:color w:val="auto"/>
              </w:rPr>
              <w:t>Disability Payments</w:t>
            </w:r>
          </w:p>
        </w:tc>
        <w:tc>
          <w:tcPr>
            <w:tcW w:w="80" w:type="dxa"/>
            <w:vAlign w:val="bottom"/>
            <w:vMerge w:val="restart"/>
          </w:tcPr>
          <w:p>
            <w:pPr>
              <w:spacing w:after="0"/>
              <w:rPr>
                <w:sz w:val="8"/>
                <w:szCs w:val="8"/>
                <w:color w:val="auto"/>
              </w:rPr>
            </w:pPr>
          </w:p>
        </w:tc>
        <w:tc>
          <w:tcPr>
            <w:tcW w:w="2080" w:type="dxa"/>
            <w:vAlign w:val="bottom"/>
            <w:vMerge w:val="restart"/>
          </w:tcPr>
          <w:p>
            <w:pPr>
              <w:jc w:val="right"/>
              <w:ind w:right="171"/>
              <w:spacing w:after="0"/>
              <w:rPr>
                <w:sz w:val="20"/>
                <w:szCs w:val="20"/>
                <w:color w:val="auto"/>
              </w:rPr>
            </w:pPr>
            <w:r>
              <w:rPr>
                <w:rFonts w:ascii="Arial" w:cs="Arial" w:eastAsia="Arial" w:hAnsi="Arial"/>
                <w:sz w:val="10"/>
                <w:szCs w:val="10"/>
                <w:color w:val="auto"/>
              </w:rPr>
              <w:t>272,499</w:t>
            </w:r>
          </w:p>
        </w:tc>
        <w:tc>
          <w:tcPr>
            <w:tcW w:w="160" w:type="dxa"/>
            <w:vAlign w:val="bottom"/>
          </w:tcPr>
          <w:p>
            <w:pPr>
              <w:jc w:val="right"/>
              <w:ind w:right="49"/>
              <w:spacing w:after="0"/>
              <w:rPr>
                <w:sz w:val="20"/>
                <w:szCs w:val="20"/>
                <w:color w:val="auto"/>
              </w:rPr>
            </w:pPr>
            <w:r>
              <w:rPr>
                <w:rFonts w:ascii="Arial" w:cs="Arial" w:eastAsia="Arial" w:hAnsi="Arial"/>
                <w:sz w:val="6"/>
                <w:szCs w:val="6"/>
                <w:color w:val="auto"/>
                <w:w w:val="81"/>
              </w:rPr>
              <w:t>(3)</w:t>
            </w:r>
          </w:p>
        </w:tc>
        <w:tc>
          <w:tcPr>
            <w:tcW w:w="180" w:type="dxa"/>
            <w:vAlign w:val="bottom"/>
          </w:tcPr>
          <w:p>
            <w:pPr>
              <w:spacing w:after="0"/>
              <w:rPr>
                <w:sz w:val="8"/>
                <w:szCs w:val="8"/>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8"/>
                <w:szCs w:val="8"/>
                <w:color w:val="auto"/>
              </w:rPr>
            </w:pPr>
          </w:p>
        </w:tc>
        <w:tc>
          <w:tcPr>
            <w:tcW w:w="19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080" w:type="dxa"/>
            <w:vAlign w:val="bottom"/>
            <w:tcBorders>
              <w:bottom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90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Arial" w:cs="Arial" w:eastAsia="Arial" w:hAnsi="Arial"/>
                <w:sz w:val="10"/>
                <w:szCs w:val="10"/>
                <w:color w:val="auto"/>
              </w:rPr>
              <w:t>Total</w:t>
            </w:r>
          </w:p>
        </w:tc>
        <w:tc>
          <w:tcPr>
            <w:tcW w:w="2160" w:type="dxa"/>
            <w:vAlign w:val="bottom"/>
            <w:gridSpan w:val="2"/>
          </w:tcPr>
          <w:p>
            <w:pPr>
              <w:jc w:val="right"/>
              <w:ind w:right="171"/>
              <w:spacing w:after="0"/>
              <w:rPr>
                <w:sz w:val="20"/>
                <w:szCs w:val="20"/>
                <w:color w:val="auto"/>
              </w:rPr>
            </w:pPr>
            <w:r>
              <w:rPr>
                <w:rFonts w:ascii="Arial" w:cs="Arial" w:eastAsia="Arial" w:hAnsi="Arial"/>
                <w:sz w:val="10"/>
                <w:szCs w:val="10"/>
                <w:color w:val="auto"/>
              </w:rPr>
              <w:t>1,333,543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ind w:right="111"/>
              <w:spacing w:after="0"/>
              <w:rPr>
                <w:sz w:val="20"/>
                <w:szCs w:val="20"/>
                <w:color w:val="auto"/>
              </w:rPr>
            </w:pPr>
            <w:r>
              <w:rPr>
                <w:rFonts w:ascii="Arial" w:cs="Arial" w:eastAsia="Arial" w:hAnsi="Arial"/>
                <w:sz w:val="10"/>
                <w:szCs w:val="10"/>
                <w:color w:val="auto"/>
              </w:rPr>
              <w:t>1,061,044</w:t>
            </w:r>
          </w:p>
        </w:tc>
        <w:tc>
          <w:tcPr>
            <w:tcW w:w="280" w:type="dxa"/>
            <w:vAlign w:val="bottom"/>
          </w:tcPr>
          <w:p>
            <w:pPr>
              <w:spacing w:after="0"/>
              <w:rPr>
                <w:sz w:val="14"/>
                <w:szCs w:val="14"/>
                <w:color w:val="auto"/>
              </w:rPr>
            </w:pP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3,392,916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200" w:type="dxa"/>
            <w:vAlign w:val="bottom"/>
            <w:tcBorders>
              <w:top w:val="single" w:sz="8" w:color="DBDBDB"/>
            </w:tcBorders>
            <w:vMerge w:val="restart"/>
            <w:shd w:val="clear" w:color="auto" w:fill="DBDBDB"/>
          </w:tcPr>
          <w:p>
            <w:pPr>
              <w:spacing w:after="0"/>
              <w:rPr>
                <w:sz w:val="20"/>
                <w:szCs w:val="20"/>
                <w:color w:val="auto"/>
              </w:rPr>
            </w:pPr>
            <w:r>
              <w:rPr>
                <w:rFonts w:ascii="Arial" w:cs="Arial" w:eastAsia="Arial" w:hAnsi="Arial"/>
                <w:sz w:val="10"/>
                <w:szCs w:val="10"/>
                <w:color w:val="auto"/>
              </w:rPr>
              <w:t>Troy R.</w:t>
            </w:r>
          </w:p>
        </w:tc>
        <w:tc>
          <w:tcPr>
            <w:tcW w:w="80" w:type="dxa"/>
            <w:vAlign w:val="bottom"/>
            <w:tcBorders>
              <w:top w:val="single" w:sz="8" w:color="DBDBDB"/>
            </w:tcBorders>
            <w:shd w:val="clear" w:color="auto" w:fill="DBDBDB"/>
          </w:tcPr>
          <w:p>
            <w:pPr>
              <w:spacing w:after="0"/>
              <w:rPr>
                <w:sz w:val="5"/>
                <w:szCs w:val="5"/>
                <w:color w:val="auto"/>
              </w:rPr>
            </w:pPr>
          </w:p>
        </w:tc>
        <w:tc>
          <w:tcPr>
            <w:tcW w:w="2340" w:type="dxa"/>
            <w:vAlign w:val="bottom"/>
            <w:tcBorders>
              <w:top w:val="single" w:sz="8" w:color="DBDBDB"/>
            </w:tcBorders>
            <w:vMerge w:val="restart"/>
            <w:shd w:val="clear" w:color="auto" w:fill="DBDBDB"/>
          </w:tcPr>
          <w:p>
            <w:pPr>
              <w:ind w:left="20"/>
              <w:spacing w:after="0"/>
              <w:rPr>
                <w:sz w:val="20"/>
                <w:szCs w:val="20"/>
                <w:color w:val="auto"/>
              </w:rPr>
            </w:pPr>
            <w:r>
              <w:rPr>
                <w:rFonts w:ascii="Arial" w:cs="Arial" w:eastAsia="Arial" w:hAnsi="Arial"/>
                <w:sz w:val="10"/>
                <w:szCs w:val="10"/>
                <w:color w:val="auto"/>
              </w:rPr>
              <w:t>Cash Severance Payment</w:t>
            </w:r>
          </w:p>
        </w:tc>
        <w:tc>
          <w:tcPr>
            <w:tcW w:w="80" w:type="dxa"/>
            <w:vAlign w:val="bottom"/>
            <w:tcBorders>
              <w:top w:val="single" w:sz="8" w:color="DBDBDB"/>
            </w:tcBorders>
            <w:shd w:val="clear" w:color="auto" w:fill="DBDBDB"/>
          </w:tcPr>
          <w:p>
            <w:pPr>
              <w:spacing w:after="0"/>
              <w:rPr>
                <w:sz w:val="5"/>
                <w:szCs w:val="5"/>
                <w:color w:val="auto"/>
              </w:rPr>
            </w:pPr>
          </w:p>
        </w:tc>
        <w:tc>
          <w:tcPr>
            <w:tcW w:w="208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72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top w:val="single" w:sz="8" w:color="DBDBDB"/>
            </w:tcBorders>
            <w:shd w:val="clear" w:color="auto" w:fill="DBDBDB"/>
          </w:tcPr>
          <w:p>
            <w:pPr>
              <w:spacing w:after="0"/>
              <w:rPr>
                <w:sz w:val="5"/>
                <w:szCs w:val="5"/>
                <w:color w:val="auto"/>
              </w:rPr>
            </w:pPr>
          </w:p>
        </w:tc>
        <w:tc>
          <w:tcPr>
            <w:tcW w:w="1900" w:type="dxa"/>
            <w:vAlign w:val="bottom"/>
            <w:tcBorders>
              <w:top w:val="single" w:sz="8" w:color="auto"/>
            </w:tcBorders>
            <w:vMerge w:val="restart"/>
            <w:shd w:val="clear" w:color="auto" w:fill="DBDBDB"/>
          </w:tcPr>
          <w:p>
            <w:pPr>
              <w:jc w:val="right"/>
              <w:ind w:right="110"/>
              <w:spacing w:after="0"/>
              <w:rPr>
                <w:sz w:val="20"/>
                <w:szCs w:val="20"/>
                <w:color w:val="auto"/>
              </w:rPr>
            </w:pPr>
            <w:r>
              <w:rPr>
                <w:rFonts w:ascii="Arial" w:cs="Arial" w:eastAsia="Arial" w:hAnsi="Arial"/>
                <w:sz w:val="10"/>
                <w:szCs w:val="10"/>
                <w:color w:val="auto"/>
              </w:rPr>
              <w:t>1,616,160</w:t>
            </w:r>
          </w:p>
        </w:tc>
        <w:tc>
          <w:tcPr>
            <w:tcW w:w="280" w:type="dxa"/>
            <w:vAlign w:val="bottom"/>
            <w:tcBorders>
              <w:top w:val="single" w:sz="8" w:color="DBDBDB"/>
            </w:tcBorders>
            <w:shd w:val="clear" w:color="auto" w:fill="DBDBDB"/>
          </w:tcPr>
          <w:p>
            <w:pPr>
              <w:jc w:val="right"/>
              <w:ind w:right="169"/>
              <w:spacing w:after="0" w:line="63" w:lineRule="exact"/>
              <w:rPr>
                <w:sz w:val="20"/>
                <w:szCs w:val="20"/>
                <w:color w:val="auto"/>
              </w:rPr>
            </w:pPr>
            <w:r>
              <w:rPr>
                <w:rFonts w:ascii="Arial" w:cs="Arial" w:eastAsia="Arial" w:hAnsi="Arial"/>
                <w:sz w:val="6"/>
                <w:szCs w:val="6"/>
                <w:color w:val="auto"/>
                <w:w w:val="81"/>
              </w:rPr>
              <w:t>(4)</w:t>
            </w:r>
          </w:p>
        </w:tc>
        <w:tc>
          <w:tcPr>
            <w:tcW w:w="0" w:type="dxa"/>
            <w:vAlign w:val="bottom"/>
          </w:tcPr>
          <w:p>
            <w:pPr>
              <w:spacing w:after="0"/>
              <w:rPr>
                <w:sz w:val="1"/>
                <w:szCs w:val="1"/>
                <w:color w:val="auto"/>
              </w:rPr>
            </w:pPr>
          </w:p>
        </w:tc>
      </w:tr>
      <w:tr>
        <w:trPr>
          <w:trHeight w:val="73"/>
        </w:trPr>
        <w:tc>
          <w:tcPr>
            <w:tcW w:w="220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34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080" w:type="dxa"/>
            <w:vAlign w:val="bottom"/>
            <w:vMerge w:val="continue"/>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720" w:type="dxa"/>
            <w:vAlign w:val="bottom"/>
            <w:vMerge w:val="continue"/>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900" w:type="dxa"/>
            <w:vAlign w:val="bottom"/>
            <w:vMerge w:val="continue"/>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spacing w:after="0"/>
              <w:rPr>
                <w:sz w:val="20"/>
                <w:szCs w:val="20"/>
                <w:color w:val="auto"/>
              </w:rPr>
            </w:pPr>
            <w:r>
              <w:rPr>
                <w:rFonts w:ascii="Arial" w:cs="Arial" w:eastAsia="Arial" w:hAnsi="Arial"/>
                <w:sz w:val="10"/>
                <w:szCs w:val="10"/>
                <w:color w:val="auto"/>
              </w:rPr>
              <w:t>Johnson</w:t>
            </w:r>
          </w:p>
        </w:tc>
        <w:tc>
          <w:tcPr>
            <w:tcW w:w="80" w:type="dxa"/>
            <w:vAlign w:val="bottom"/>
            <w:shd w:val="clear" w:color="auto" w:fill="DBDBDB"/>
          </w:tcPr>
          <w:p>
            <w:pPr>
              <w:spacing w:after="0"/>
              <w:rPr>
                <w:sz w:val="13"/>
                <w:szCs w:val="13"/>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Health Insurance Benefits</w:t>
            </w:r>
          </w:p>
        </w:tc>
        <w:tc>
          <w:tcPr>
            <w:tcW w:w="80" w:type="dxa"/>
            <w:vAlign w:val="bottom"/>
            <w:shd w:val="clear" w:color="auto" w:fill="DBDBDB"/>
          </w:tcPr>
          <w:p>
            <w:pPr>
              <w:spacing w:after="0"/>
              <w:rPr>
                <w:sz w:val="13"/>
                <w:szCs w:val="13"/>
                <w:color w:val="auto"/>
              </w:rPr>
            </w:pPr>
          </w:p>
        </w:tc>
        <w:tc>
          <w:tcPr>
            <w:tcW w:w="208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3"/>
                <w:szCs w:val="13"/>
                <w:color w:val="auto"/>
              </w:rPr>
            </w:pPr>
          </w:p>
        </w:tc>
        <w:tc>
          <w:tcPr>
            <w:tcW w:w="1900" w:type="dxa"/>
            <w:vAlign w:val="bottom"/>
            <w:shd w:val="clear" w:color="auto" w:fill="DBDBDB"/>
          </w:tcPr>
          <w:p>
            <w:pPr>
              <w:jc w:val="right"/>
              <w:ind w:right="110"/>
              <w:spacing w:after="0"/>
              <w:rPr>
                <w:sz w:val="20"/>
                <w:szCs w:val="20"/>
                <w:color w:val="auto"/>
              </w:rPr>
            </w:pPr>
            <w:r>
              <w:rPr>
                <w:rFonts w:ascii="Arial" w:cs="Arial" w:eastAsia="Arial" w:hAnsi="Arial"/>
                <w:sz w:val="10"/>
                <w:szCs w:val="10"/>
                <w:color w:val="auto"/>
              </w:rPr>
              <w:t>65,206</w:t>
            </w: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20"/>
              <w:spacing w:after="0"/>
              <w:rPr>
                <w:sz w:val="20"/>
                <w:szCs w:val="20"/>
                <w:color w:val="auto"/>
              </w:rPr>
            </w:pPr>
            <w:r>
              <w:rPr>
                <w:rFonts w:ascii="Arial" w:cs="Arial" w:eastAsia="Arial" w:hAnsi="Arial"/>
                <w:sz w:val="10"/>
                <w:szCs w:val="10"/>
                <w:color w:val="auto"/>
              </w:rPr>
              <w:t>Reimbursement of Legal Costs</w:t>
            </w:r>
          </w:p>
        </w:tc>
        <w:tc>
          <w:tcPr>
            <w:tcW w:w="80" w:type="dxa"/>
            <w:vAlign w:val="bottom"/>
            <w:shd w:val="clear" w:color="auto" w:fill="DBDBDB"/>
          </w:tcPr>
          <w:p>
            <w:pPr>
              <w:spacing w:after="0"/>
              <w:rPr>
                <w:sz w:val="8"/>
                <w:szCs w:val="8"/>
                <w:color w:val="auto"/>
              </w:rPr>
            </w:pPr>
          </w:p>
        </w:tc>
        <w:tc>
          <w:tcPr>
            <w:tcW w:w="20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8"/>
                <w:szCs w:val="8"/>
                <w:color w:val="auto"/>
              </w:rPr>
            </w:pPr>
          </w:p>
        </w:tc>
        <w:tc>
          <w:tcPr>
            <w:tcW w:w="19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80" w:type="dxa"/>
            <w:vAlign w:val="bottom"/>
            <w:vMerge w:val="continue"/>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Acceleration of Vesting</w:t>
            </w:r>
          </w:p>
        </w:tc>
        <w:tc>
          <w:tcPr>
            <w:tcW w:w="80" w:type="dxa"/>
            <w:vAlign w:val="bottom"/>
            <w:shd w:val="clear" w:color="auto" w:fill="DBDBDB"/>
          </w:tcPr>
          <w:p>
            <w:pPr>
              <w:spacing w:after="0"/>
              <w:rPr>
                <w:sz w:val="13"/>
                <w:szCs w:val="13"/>
                <w:color w:val="auto"/>
              </w:rPr>
            </w:pPr>
          </w:p>
        </w:tc>
        <w:tc>
          <w:tcPr>
            <w:tcW w:w="20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72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90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180"/>
              <w:spacing w:after="0"/>
              <w:rPr>
                <w:sz w:val="20"/>
                <w:szCs w:val="20"/>
                <w:color w:val="auto"/>
              </w:rPr>
            </w:pPr>
            <w:r>
              <w:rPr>
                <w:rFonts w:ascii="Arial" w:cs="Arial" w:eastAsia="Arial" w:hAnsi="Arial"/>
                <w:sz w:val="10"/>
                <w:szCs w:val="10"/>
                <w:color w:val="auto"/>
              </w:rPr>
              <w:t>Restricted Stock</w:t>
            </w:r>
          </w:p>
        </w:tc>
        <w:tc>
          <w:tcPr>
            <w:tcW w:w="80" w:type="dxa"/>
            <w:vAlign w:val="bottom"/>
            <w:shd w:val="clear" w:color="auto" w:fill="DBDBDB"/>
          </w:tcPr>
          <w:p>
            <w:pPr>
              <w:spacing w:after="0"/>
              <w:rPr>
                <w:sz w:val="8"/>
                <w:szCs w:val="8"/>
                <w:color w:val="auto"/>
              </w:rPr>
            </w:pPr>
          </w:p>
        </w:tc>
        <w:tc>
          <w:tcPr>
            <w:tcW w:w="2080" w:type="dxa"/>
            <w:vAlign w:val="bottom"/>
            <w:vMerge w:val="restart"/>
            <w:shd w:val="clear" w:color="auto" w:fill="DBDBDB"/>
          </w:tcPr>
          <w:p>
            <w:pPr>
              <w:jc w:val="right"/>
              <w:ind w:right="171"/>
              <w:spacing w:after="0"/>
              <w:rPr>
                <w:sz w:val="20"/>
                <w:szCs w:val="20"/>
                <w:color w:val="auto"/>
              </w:rPr>
            </w:pPr>
            <w:r>
              <w:rPr>
                <w:rFonts w:ascii="Arial" w:cs="Arial" w:eastAsia="Arial" w:hAnsi="Arial"/>
                <w:sz w:val="10"/>
                <w:szCs w:val="10"/>
                <w:color w:val="auto"/>
              </w:rPr>
              <w:t>1,420,459</w:t>
            </w:r>
          </w:p>
        </w:tc>
        <w:tc>
          <w:tcPr>
            <w:tcW w:w="160" w:type="dxa"/>
            <w:vAlign w:val="bottom"/>
            <w:shd w:val="clear" w:color="auto" w:fill="DBDBDB"/>
          </w:tcPr>
          <w:p>
            <w:pPr>
              <w:jc w:val="right"/>
              <w:ind w:right="49"/>
              <w:spacing w:after="0"/>
              <w:rPr>
                <w:sz w:val="20"/>
                <w:szCs w:val="20"/>
                <w:color w:val="auto"/>
              </w:rPr>
            </w:pPr>
            <w:r>
              <w:rPr>
                <w:rFonts w:ascii="Arial" w:cs="Arial" w:eastAsia="Arial" w:hAnsi="Arial"/>
                <w:sz w:val="6"/>
                <w:szCs w:val="6"/>
                <w:color w:val="auto"/>
                <w:w w:val="81"/>
              </w:rPr>
              <w:t>(2)</w:t>
            </w:r>
          </w:p>
        </w:tc>
        <w:tc>
          <w:tcPr>
            <w:tcW w:w="18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right"/>
              <w:ind w:right="171"/>
              <w:spacing w:after="0"/>
              <w:rPr>
                <w:sz w:val="20"/>
                <w:szCs w:val="20"/>
                <w:color w:val="auto"/>
              </w:rPr>
            </w:pPr>
            <w:r>
              <w:rPr>
                <w:rFonts w:ascii="Arial" w:cs="Arial" w:eastAsia="Arial" w:hAnsi="Arial"/>
                <w:sz w:val="10"/>
                <w:szCs w:val="10"/>
                <w:color w:val="auto"/>
              </w:rPr>
              <w:t>1,420,459</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(2)</w:t>
            </w:r>
          </w:p>
        </w:tc>
        <w:tc>
          <w:tcPr>
            <w:tcW w:w="1900" w:type="dxa"/>
            <w:vAlign w:val="bottom"/>
            <w:vMerge w:val="restart"/>
            <w:shd w:val="clear" w:color="auto" w:fill="DBDBDB"/>
          </w:tcPr>
          <w:p>
            <w:pPr>
              <w:jc w:val="right"/>
              <w:ind w:right="110"/>
              <w:spacing w:after="0"/>
              <w:rPr>
                <w:sz w:val="20"/>
                <w:szCs w:val="20"/>
                <w:color w:val="auto"/>
              </w:rPr>
            </w:pPr>
            <w:r>
              <w:rPr>
                <w:rFonts w:ascii="Arial" w:cs="Arial" w:eastAsia="Arial" w:hAnsi="Arial"/>
                <w:sz w:val="10"/>
                <w:szCs w:val="10"/>
                <w:color w:val="auto"/>
              </w:rPr>
              <w:t>1,420,459</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(2)</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80" w:type="dxa"/>
            <w:vAlign w:val="bottom"/>
            <w:vMerge w:val="continue"/>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180"/>
              <w:spacing w:after="0"/>
              <w:rPr>
                <w:sz w:val="20"/>
                <w:szCs w:val="20"/>
                <w:color w:val="auto"/>
              </w:rPr>
            </w:pPr>
            <w:r>
              <w:rPr>
                <w:rFonts w:ascii="Arial" w:cs="Arial" w:eastAsia="Arial" w:hAnsi="Arial"/>
                <w:sz w:val="10"/>
                <w:szCs w:val="10"/>
                <w:color w:val="auto"/>
              </w:rPr>
              <w:t>Performance Awards</w:t>
            </w:r>
          </w:p>
        </w:tc>
        <w:tc>
          <w:tcPr>
            <w:tcW w:w="80" w:type="dxa"/>
            <w:vAlign w:val="bottom"/>
            <w:shd w:val="clear" w:color="auto" w:fill="DBDBDB"/>
          </w:tcPr>
          <w:p>
            <w:pPr>
              <w:spacing w:after="0"/>
              <w:rPr>
                <w:sz w:val="8"/>
                <w:szCs w:val="8"/>
                <w:color w:val="auto"/>
              </w:rPr>
            </w:pPr>
          </w:p>
        </w:tc>
        <w:tc>
          <w:tcPr>
            <w:tcW w:w="208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DBDBDB"/>
          </w:tcPr>
          <w:p>
            <w:pPr>
              <w:jc w:val="right"/>
              <w:ind w:right="49"/>
              <w:spacing w:after="0"/>
              <w:rPr>
                <w:sz w:val="20"/>
                <w:szCs w:val="20"/>
                <w:color w:val="auto"/>
              </w:rPr>
            </w:pPr>
            <w:r>
              <w:rPr>
                <w:rFonts w:ascii="Arial" w:cs="Arial" w:eastAsia="Arial" w:hAnsi="Arial"/>
                <w:sz w:val="6"/>
                <w:szCs w:val="6"/>
                <w:color w:val="auto"/>
                <w:w w:val="81"/>
              </w:rPr>
              <w:t>(6)</w:t>
            </w:r>
          </w:p>
        </w:tc>
        <w:tc>
          <w:tcPr>
            <w:tcW w:w="18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(6)</w:t>
            </w:r>
          </w:p>
        </w:tc>
        <w:tc>
          <w:tcPr>
            <w:tcW w:w="1900" w:type="dxa"/>
            <w:vAlign w:val="bottom"/>
            <w:vMerge w:val="restart"/>
            <w:shd w:val="clear" w:color="auto" w:fill="DBDBDB"/>
          </w:tcPr>
          <w:p>
            <w:pPr>
              <w:jc w:val="right"/>
              <w:ind w:right="110"/>
              <w:spacing w:after="0"/>
              <w:rPr>
                <w:sz w:val="20"/>
                <w:szCs w:val="20"/>
                <w:color w:val="auto"/>
              </w:rPr>
            </w:pPr>
            <w:r>
              <w:rPr>
                <w:rFonts w:ascii="Arial" w:cs="Arial" w:eastAsia="Arial" w:hAnsi="Arial"/>
                <w:sz w:val="10"/>
                <w:szCs w:val="10"/>
                <w:color w:val="auto"/>
              </w:rPr>
              <w:t>704,679</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(7)</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080" w:type="dxa"/>
            <w:vAlign w:val="bottom"/>
            <w:vMerge w:val="continue"/>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8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20"/>
              <w:spacing w:after="0"/>
              <w:rPr>
                <w:sz w:val="20"/>
                <w:szCs w:val="20"/>
                <w:color w:val="auto"/>
              </w:rPr>
            </w:pPr>
            <w:r>
              <w:rPr>
                <w:rFonts w:ascii="Arial" w:cs="Arial" w:eastAsia="Arial" w:hAnsi="Arial"/>
                <w:sz w:val="10"/>
                <w:szCs w:val="10"/>
                <w:color w:val="auto"/>
              </w:rPr>
              <w:t>Disability Payments</w:t>
            </w:r>
          </w:p>
        </w:tc>
        <w:tc>
          <w:tcPr>
            <w:tcW w:w="80" w:type="dxa"/>
            <w:vAlign w:val="bottom"/>
            <w:shd w:val="clear" w:color="auto" w:fill="DBDBDB"/>
          </w:tcPr>
          <w:p>
            <w:pPr>
              <w:spacing w:after="0"/>
              <w:rPr>
                <w:sz w:val="8"/>
                <w:szCs w:val="8"/>
                <w:color w:val="auto"/>
              </w:rPr>
            </w:pPr>
          </w:p>
        </w:tc>
        <w:tc>
          <w:tcPr>
            <w:tcW w:w="2080" w:type="dxa"/>
            <w:vAlign w:val="bottom"/>
            <w:vMerge w:val="restart"/>
            <w:shd w:val="clear" w:color="auto" w:fill="DBDBDB"/>
          </w:tcPr>
          <w:p>
            <w:pPr>
              <w:jc w:val="right"/>
              <w:ind w:right="171"/>
              <w:spacing w:after="0"/>
              <w:rPr>
                <w:sz w:val="20"/>
                <w:szCs w:val="20"/>
                <w:color w:val="auto"/>
              </w:rPr>
            </w:pPr>
            <w:r>
              <w:rPr>
                <w:rFonts w:ascii="Arial" w:cs="Arial" w:eastAsia="Arial" w:hAnsi="Arial"/>
                <w:sz w:val="10"/>
                <w:szCs w:val="10"/>
                <w:color w:val="auto"/>
              </w:rPr>
              <w:t>261,264</w:t>
            </w:r>
          </w:p>
        </w:tc>
        <w:tc>
          <w:tcPr>
            <w:tcW w:w="160" w:type="dxa"/>
            <w:vAlign w:val="bottom"/>
            <w:shd w:val="clear" w:color="auto" w:fill="DBDBDB"/>
          </w:tcPr>
          <w:p>
            <w:pPr>
              <w:jc w:val="right"/>
              <w:ind w:right="49"/>
              <w:spacing w:after="0"/>
              <w:rPr>
                <w:sz w:val="20"/>
                <w:szCs w:val="20"/>
                <w:color w:val="auto"/>
              </w:rPr>
            </w:pPr>
            <w:r>
              <w:rPr>
                <w:rFonts w:ascii="Arial" w:cs="Arial" w:eastAsia="Arial" w:hAnsi="Arial"/>
                <w:sz w:val="6"/>
                <w:szCs w:val="6"/>
                <w:color w:val="auto"/>
                <w:w w:val="81"/>
              </w:rPr>
              <w:t>(3)</w:t>
            </w:r>
          </w:p>
        </w:tc>
        <w:tc>
          <w:tcPr>
            <w:tcW w:w="18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8"/>
                <w:szCs w:val="8"/>
                <w:color w:val="auto"/>
              </w:rPr>
            </w:pPr>
          </w:p>
        </w:tc>
        <w:tc>
          <w:tcPr>
            <w:tcW w:w="19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200" w:type="dxa"/>
            <w:vAlign w:val="bottom"/>
            <w:tcBorders>
              <w:bottom w:val="single" w:sz="8" w:color="DBDBDB"/>
            </w:tcBorders>
            <w:shd w:val="clear" w:color="auto" w:fill="DBDBDB"/>
          </w:tcPr>
          <w:p>
            <w:pPr>
              <w:spacing w:after="0"/>
              <w:rPr>
                <w:sz w:val="5"/>
                <w:szCs w:val="5"/>
                <w:color w:val="auto"/>
              </w:rPr>
            </w:pPr>
          </w:p>
        </w:tc>
        <w:tc>
          <w:tcPr>
            <w:tcW w:w="80" w:type="dxa"/>
            <w:vAlign w:val="bottom"/>
            <w:tcBorders>
              <w:bottom w:val="single" w:sz="8" w:color="DBDBDB"/>
            </w:tcBorders>
            <w:shd w:val="clear" w:color="auto" w:fill="DBDBDB"/>
          </w:tcPr>
          <w:p>
            <w:pPr>
              <w:spacing w:after="0"/>
              <w:rPr>
                <w:sz w:val="5"/>
                <w:szCs w:val="5"/>
                <w:color w:val="auto"/>
              </w:rPr>
            </w:pPr>
          </w:p>
        </w:tc>
        <w:tc>
          <w:tcPr>
            <w:tcW w:w="2340" w:type="dxa"/>
            <w:vAlign w:val="bottom"/>
            <w:tcBorders>
              <w:bottom w:val="single" w:sz="8" w:color="DBDBDB"/>
            </w:tcBorders>
            <w:vMerge w:val="continue"/>
            <w:shd w:val="clear" w:color="auto" w:fill="DBDBDB"/>
          </w:tcPr>
          <w:p>
            <w:pPr>
              <w:spacing w:after="0"/>
              <w:rPr>
                <w:sz w:val="5"/>
                <w:szCs w:val="5"/>
                <w:color w:val="auto"/>
              </w:rPr>
            </w:pPr>
          </w:p>
        </w:tc>
        <w:tc>
          <w:tcPr>
            <w:tcW w:w="80" w:type="dxa"/>
            <w:vAlign w:val="bottom"/>
            <w:tcBorders>
              <w:bottom w:val="single" w:sz="8" w:color="DBDBDB"/>
            </w:tcBorders>
            <w:shd w:val="clear" w:color="auto" w:fill="DBDBDB"/>
          </w:tcPr>
          <w:p>
            <w:pPr>
              <w:spacing w:after="0"/>
              <w:rPr>
                <w:sz w:val="5"/>
                <w:szCs w:val="5"/>
                <w:color w:val="auto"/>
              </w:rPr>
            </w:pPr>
          </w:p>
        </w:tc>
        <w:tc>
          <w:tcPr>
            <w:tcW w:w="2080" w:type="dxa"/>
            <w:vAlign w:val="bottom"/>
            <w:tcBorders>
              <w:bottom w:val="single" w:sz="8" w:color="auto"/>
            </w:tcBorders>
            <w:vMerge w:val="continue"/>
            <w:shd w:val="clear" w:color="auto" w:fill="DBDBDB"/>
          </w:tcPr>
          <w:p>
            <w:pPr>
              <w:spacing w:after="0"/>
              <w:rPr>
                <w:sz w:val="5"/>
                <w:szCs w:val="5"/>
                <w:color w:val="auto"/>
              </w:rPr>
            </w:pPr>
          </w:p>
        </w:tc>
        <w:tc>
          <w:tcPr>
            <w:tcW w:w="160" w:type="dxa"/>
            <w:vAlign w:val="bottom"/>
            <w:tcBorders>
              <w:bottom w:val="single" w:sz="8" w:color="DBDBDB"/>
            </w:tcBorders>
            <w:shd w:val="clear" w:color="auto" w:fill="DBDBDB"/>
          </w:tcPr>
          <w:p>
            <w:pPr>
              <w:spacing w:after="0"/>
              <w:rPr>
                <w:sz w:val="5"/>
                <w:szCs w:val="5"/>
                <w:color w:val="auto"/>
              </w:rPr>
            </w:pPr>
          </w:p>
        </w:tc>
        <w:tc>
          <w:tcPr>
            <w:tcW w:w="180" w:type="dxa"/>
            <w:vAlign w:val="bottom"/>
            <w:tcBorders>
              <w:bottom w:val="single" w:sz="8" w:color="DBDBDB"/>
            </w:tcBorders>
            <w:shd w:val="clear" w:color="auto" w:fill="DBDBDB"/>
          </w:tcPr>
          <w:p>
            <w:pPr>
              <w:spacing w:after="0"/>
              <w:rPr>
                <w:sz w:val="5"/>
                <w:szCs w:val="5"/>
                <w:color w:val="auto"/>
              </w:rPr>
            </w:pPr>
          </w:p>
        </w:tc>
        <w:tc>
          <w:tcPr>
            <w:tcW w:w="1720" w:type="dxa"/>
            <w:vAlign w:val="bottom"/>
            <w:tcBorders>
              <w:bottom w:val="single" w:sz="8" w:color="auto"/>
            </w:tcBorders>
            <w:vMerge w:val="continue"/>
            <w:shd w:val="clear" w:color="auto" w:fill="DBDBDB"/>
          </w:tcPr>
          <w:p>
            <w:pPr>
              <w:spacing w:after="0"/>
              <w:rPr>
                <w:sz w:val="5"/>
                <w:szCs w:val="5"/>
                <w:color w:val="auto"/>
              </w:rPr>
            </w:pPr>
          </w:p>
        </w:tc>
        <w:tc>
          <w:tcPr>
            <w:tcW w:w="280" w:type="dxa"/>
            <w:vAlign w:val="bottom"/>
            <w:tcBorders>
              <w:bottom w:val="single" w:sz="8" w:color="DBDBDB"/>
            </w:tcBorders>
            <w:shd w:val="clear" w:color="auto" w:fill="DBDBDB"/>
          </w:tcPr>
          <w:p>
            <w:pPr>
              <w:spacing w:after="0"/>
              <w:rPr>
                <w:sz w:val="5"/>
                <w:szCs w:val="5"/>
                <w:color w:val="auto"/>
              </w:rPr>
            </w:pPr>
          </w:p>
        </w:tc>
        <w:tc>
          <w:tcPr>
            <w:tcW w:w="1900" w:type="dxa"/>
            <w:vAlign w:val="bottom"/>
            <w:tcBorders>
              <w:bottom w:val="single" w:sz="8" w:color="auto"/>
            </w:tcBorders>
            <w:vMerge w:val="continue"/>
            <w:shd w:val="clear" w:color="auto" w:fill="DBDBDB"/>
          </w:tcPr>
          <w:p>
            <w:pPr>
              <w:spacing w:after="0"/>
              <w:rPr>
                <w:sz w:val="5"/>
                <w:szCs w:val="5"/>
                <w:color w:val="auto"/>
              </w:rPr>
            </w:pPr>
          </w:p>
        </w:tc>
        <w:tc>
          <w:tcPr>
            <w:tcW w:w="280" w:type="dxa"/>
            <w:vAlign w:val="bottom"/>
            <w:tcBorders>
              <w:bottom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20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234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DBDBDB"/>
            </w:tcBorders>
            <w:shd w:val="clear" w:color="auto" w:fill="DBDBDB"/>
          </w:tcPr>
          <w:p>
            <w:pPr>
              <w:spacing w:after="0"/>
              <w:rPr>
                <w:sz w:val="14"/>
                <w:szCs w:val="14"/>
                <w:color w:val="auto"/>
              </w:rPr>
            </w:pPr>
          </w:p>
        </w:tc>
        <w:tc>
          <w:tcPr>
            <w:tcW w:w="2080" w:type="dxa"/>
            <w:vAlign w:val="bottom"/>
            <w:tcBorders>
              <w:bottom w:val="single" w:sz="8" w:color="auto"/>
            </w:tcBorders>
            <w:shd w:val="clear" w:color="auto" w:fill="DBDBDB"/>
          </w:tcPr>
          <w:p>
            <w:pPr>
              <w:jc w:val="right"/>
              <w:ind w:right="171"/>
              <w:spacing w:after="0"/>
              <w:rPr>
                <w:sz w:val="20"/>
                <w:szCs w:val="20"/>
                <w:color w:val="auto"/>
              </w:rPr>
            </w:pPr>
            <w:r>
              <w:rPr>
                <w:rFonts w:ascii="Arial" w:cs="Arial" w:eastAsia="Arial" w:hAnsi="Arial"/>
                <w:sz w:val="10"/>
                <w:szCs w:val="10"/>
                <w:color w:val="auto"/>
              </w:rPr>
              <w:t>1,681,723</w:t>
            </w:r>
          </w:p>
        </w:tc>
        <w:tc>
          <w:tcPr>
            <w:tcW w:w="16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720" w:type="dxa"/>
            <w:vAlign w:val="bottom"/>
            <w:tcBorders>
              <w:bottom w:val="single" w:sz="8" w:color="auto"/>
            </w:tcBorders>
            <w:shd w:val="clear" w:color="auto" w:fill="DBDBDB"/>
          </w:tcPr>
          <w:p>
            <w:pPr>
              <w:jc w:val="right"/>
              <w:ind w:right="171"/>
              <w:spacing w:after="0"/>
              <w:rPr>
                <w:sz w:val="20"/>
                <w:szCs w:val="20"/>
                <w:color w:val="auto"/>
              </w:rPr>
            </w:pPr>
            <w:r>
              <w:rPr>
                <w:rFonts w:ascii="Arial" w:cs="Arial" w:eastAsia="Arial" w:hAnsi="Arial"/>
                <w:sz w:val="10"/>
                <w:szCs w:val="10"/>
                <w:color w:val="auto"/>
              </w:rPr>
              <w:t>1,420,459</w:t>
            </w:r>
          </w:p>
        </w:tc>
        <w:tc>
          <w:tcPr>
            <w:tcW w:w="280" w:type="dxa"/>
            <w:vAlign w:val="bottom"/>
            <w:tcBorders>
              <w:bottom w:val="single" w:sz="8" w:color="DBDBDB"/>
            </w:tcBorders>
            <w:shd w:val="clear" w:color="auto" w:fill="DBDBDB"/>
          </w:tcPr>
          <w:p>
            <w:pPr>
              <w:spacing w:after="0"/>
              <w:rPr>
                <w:sz w:val="14"/>
                <w:szCs w:val="14"/>
                <w:color w:val="auto"/>
              </w:rPr>
            </w:pPr>
          </w:p>
        </w:tc>
        <w:tc>
          <w:tcPr>
            <w:tcW w:w="19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0"/>
                <w:szCs w:val="10"/>
                <w:color w:val="auto"/>
              </w:rPr>
              <w:t>3,806,504</w:t>
            </w:r>
          </w:p>
        </w:tc>
        <w:tc>
          <w:tcPr>
            <w:tcW w:w="28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rPr>
                <w:sz w:val="20"/>
                <w:szCs w:val="20"/>
                <w:color w:val="auto"/>
              </w:rPr>
            </w:pPr>
            <w:r>
              <w:rPr>
                <w:rFonts w:ascii="Arial" w:cs="Arial" w:eastAsia="Arial" w:hAnsi="Arial"/>
                <w:sz w:val="10"/>
                <w:szCs w:val="10"/>
                <w:color w:val="auto"/>
              </w:rPr>
              <w:t>Veena M.</w:t>
            </w:r>
          </w:p>
        </w:tc>
        <w:tc>
          <w:tcPr>
            <w:tcW w:w="80" w:type="dxa"/>
            <w:vAlign w:val="bottom"/>
          </w:tcPr>
          <w:p>
            <w:pPr>
              <w:spacing w:after="0"/>
              <w:rPr>
                <w:sz w:val="11"/>
                <w:szCs w:val="11"/>
                <w:color w:val="auto"/>
              </w:rPr>
            </w:pPr>
          </w:p>
        </w:tc>
        <w:tc>
          <w:tcPr>
            <w:tcW w:w="2340" w:type="dxa"/>
            <w:vAlign w:val="bottom"/>
          </w:tcPr>
          <w:p>
            <w:pPr>
              <w:ind w:left="20"/>
              <w:spacing w:after="0"/>
              <w:rPr>
                <w:sz w:val="20"/>
                <w:szCs w:val="20"/>
                <w:color w:val="auto"/>
              </w:rPr>
            </w:pPr>
            <w:r>
              <w:rPr>
                <w:rFonts w:ascii="Arial" w:cs="Arial" w:eastAsia="Arial" w:hAnsi="Arial"/>
                <w:sz w:val="10"/>
                <w:szCs w:val="10"/>
                <w:color w:val="auto"/>
              </w:rPr>
              <w:t>Cash Severance Payment</w:t>
            </w:r>
          </w:p>
        </w:tc>
        <w:tc>
          <w:tcPr>
            <w:tcW w:w="80" w:type="dxa"/>
            <w:vAlign w:val="bottom"/>
          </w:tcPr>
          <w:p>
            <w:pPr>
              <w:spacing w:after="0"/>
              <w:rPr>
                <w:sz w:val="11"/>
                <w:szCs w:val="11"/>
                <w:color w:val="auto"/>
              </w:rPr>
            </w:pPr>
          </w:p>
        </w:tc>
        <w:tc>
          <w:tcPr>
            <w:tcW w:w="20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11"/>
                <w:szCs w:val="11"/>
                <w:color w:val="auto"/>
              </w:rPr>
            </w:pP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1,760,000</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(4)</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20"/>
                <w:szCs w:val="20"/>
                <w:color w:val="auto"/>
              </w:rPr>
            </w:pPr>
            <w:r>
              <w:rPr>
                <w:rFonts w:ascii="Arial" w:cs="Arial" w:eastAsia="Arial" w:hAnsi="Arial"/>
                <w:sz w:val="10"/>
                <w:szCs w:val="10"/>
                <w:color w:val="auto"/>
              </w:rPr>
              <w:t>Lakkundi</w:t>
            </w:r>
          </w:p>
        </w:tc>
        <w:tc>
          <w:tcPr>
            <w:tcW w:w="8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0"/>
                <w:szCs w:val="10"/>
                <w:color w:val="auto"/>
              </w:rPr>
              <w:t>Health Insurance Benefits</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13"/>
                <w:szCs w:val="13"/>
                <w:color w:val="auto"/>
              </w:rPr>
            </w:pP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65,206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0"/>
                <w:szCs w:val="10"/>
                <w:color w:val="auto"/>
              </w:rPr>
              <w:t>Reimbursement of Legal Costs</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0"/>
                <w:szCs w:val="10"/>
                <w:color w:val="auto"/>
              </w:rPr>
              <w:t>Acceleration of Vesting</w:t>
            </w: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ind w:left="180"/>
              <w:spacing w:after="0"/>
              <w:rPr>
                <w:sz w:val="20"/>
                <w:szCs w:val="20"/>
                <w:color w:val="auto"/>
              </w:rPr>
            </w:pPr>
            <w:r>
              <w:rPr>
                <w:rFonts w:ascii="Arial" w:cs="Arial" w:eastAsia="Arial" w:hAnsi="Arial"/>
                <w:sz w:val="10"/>
                <w:szCs w:val="10"/>
                <w:color w:val="auto"/>
              </w:rPr>
              <w:t>Restricted Stock</w:t>
            </w:r>
          </w:p>
        </w:tc>
        <w:tc>
          <w:tcPr>
            <w:tcW w:w="2160" w:type="dxa"/>
            <w:vAlign w:val="bottom"/>
            <w:gridSpan w:val="2"/>
          </w:tcPr>
          <w:p>
            <w:pPr>
              <w:jc w:val="right"/>
              <w:ind w:right="171"/>
              <w:spacing w:after="0"/>
              <w:rPr>
                <w:sz w:val="20"/>
                <w:szCs w:val="20"/>
                <w:color w:val="auto"/>
              </w:rPr>
            </w:pPr>
            <w:r>
              <w:rPr>
                <w:rFonts w:ascii="Arial" w:cs="Arial" w:eastAsia="Arial" w:hAnsi="Arial"/>
                <w:sz w:val="10"/>
                <w:szCs w:val="10"/>
                <w:color w:val="auto"/>
              </w:rPr>
              <w:t>1,185,123</w:t>
            </w:r>
          </w:p>
        </w:tc>
        <w:tc>
          <w:tcPr>
            <w:tcW w:w="160" w:type="dxa"/>
            <w:vAlign w:val="bottom"/>
          </w:tcPr>
          <w:p>
            <w:pPr>
              <w:jc w:val="right"/>
              <w:ind w:right="49"/>
              <w:spacing w:after="0"/>
              <w:rPr>
                <w:sz w:val="20"/>
                <w:szCs w:val="20"/>
                <w:color w:val="auto"/>
              </w:rPr>
            </w:pPr>
            <w:r>
              <w:rPr>
                <w:rFonts w:ascii="Arial" w:cs="Arial" w:eastAsia="Arial" w:hAnsi="Arial"/>
                <w:sz w:val="6"/>
                <w:szCs w:val="6"/>
                <w:color w:val="auto"/>
                <w:w w:val="81"/>
              </w:rPr>
              <w:t>(2)</w:t>
            </w:r>
          </w:p>
        </w:tc>
        <w:tc>
          <w:tcPr>
            <w:tcW w:w="180" w:type="dxa"/>
            <w:vAlign w:val="bottom"/>
          </w:tcPr>
          <w:p>
            <w:pPr>
              <w:spacing w:after="0"/>
              <w:rPr>
                <w:sz w:val="13"/>
                <w:szCs w:val="13"/>
                <w:color w:val="auto"/>
              </w:rPr>
            </w:pPr>
          </w:p>
        </w:tc>
        <w:tc>
          <w:tcPr>
            <w:tcW w:w="1720" w:type="dxa"/>
            <w:vAlign w:val="bottom"/>
          </w:tcPr>
          <w:p>
            <w:pPr>
              <w:jc w:val="right"/>
              <w:ind w:right="171"/>
              <w:spacing w:after="0"/>
              <w:rPr>
                <w:sz w:val="20"/>
                <w:szCs w:val="20"/>
                <w:color w:val="auto"/>
              </w:rPr>
            </w:pPr>
            <w:r>
              <w:rPr>
                <w:rFonts w:ascii="Arial" w:cs="Arial" w:eastAsia="Arial" w:hAnsi="Arial"/>
                <w:sz w:val="10"/>
                <w:szCs w:val="10"/>
                <w:color w:val="auto"/>
              </w:rPr>
              <w:t>1,185,123</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(2)</w:t>
            </w: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1,185,123</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(2)</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ind w:left="180"/>
              <w:spacing w:after="0"/>
              <w:rPr>
                <w:sz w:val="20"/>
                <w:szCs w:val="20"/>
                <w:color w:val="auto"/>
              </w:rPr>
            </w:pPr>
            <w:r>
              <w:rPr>
                <w:rFonts w:ascii="Arial" w:cs="Arial" w:eastAsia="Arial" w:hAnsi="Arial"/>
                <w:sz w:val="10"/>
                <w:szCs w:val="10"/>
                <w:color w:val="auto"/>
              </w:rPr>
              <w:t>Performance Awards</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jc w:val="right"/>
              <w:ind w:right="49"/>
              <w:spacing w:after="0"/>
              <w:rPr>
                <w:sz w:val="20"/>
                <w:szCs w:val="20"/>
                <w:color w:val="auto"/>
              </w:rPr>
            </w:pPr>
            <w:r>
              <w:rPr>
                <w:rFonts w:ascii="Arial" w:cs="Arial" w:eastAsia="Arial" w:hAnsi="Arial"/>
                <w:sz w:val="6"/>
                <w:szCs w:val="6"/>
                <w:color w:val="auto"/>
                <w:w w:val="81"/>
              </w:rPr>
              <w:t>(6)</w:t>
            </w:r>
          </w:p>
        </w:tc>
        <w:tc>
          <w:tcPr>
            <w:tcW w:w="1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(6)</w:t>
            </w: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309,069</w:t>
            </w:r>
          </w:p>
        </w:tc>
        <w:tc>
          <w:tcPr>
            <w:tcW w:w="280" w:type="dxa"/>
            <w:vAlign w:val="bottom"/>
          </w:tcPr>
          <w:p>
            <w:pPr>
              <w:jc w:val="right"/>
              <w:ind w:right="169"/>
              <w:spacing w:after="0"/>
              <w:rPr>
                <w:sz w:val="20"/>
                <w:szCs w:val="20"/>
                <w:color w:val="auto"/>
              </w:rPr>
            </w:pPr>
            <w:r>
              <w:rPr>
                <w:rFonts w:ascii="Arial" w:cs="Arial" w:eastAsia="Arial" w:hAnsi="Arial"/>
                <w:sz w:val="6"/>
                <w:szCs w:val="6"/>
                <w:color w:val="auto"/>
                <w:w w:val="81"/>
              </w:rPr>
              <w:t>(7)</w:t>
            </w:r>
          </w:p>
        </w:tc>
        <w:tc>
          <w:tcPr>
            <w:tcW w:w="0" w:type="dxa"/>
            <w:vAlign w:val="bottom"/>
          </w:tcPr>
          <w:p>
            <w:pPr>
              <w:spacing w:after="0"/>
              <w:rPr>
                <w:sz w:val="1"/>
                <w:szCs w:val="1"/>
                <w:color w:val="auto"/>
              </w:rPr>
            </w:pP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ind w:left="20"/>
              <w:spacing w:after="0"/>
              <w:rPr>
                <w:sz w:val="20"/>
                <w:szCs w:val="20"/>
                <w:color w:val="auto"/>
              </w:rPr>
            </w:pPr>
            <w:r>
              <w:rPr>
                <w:rFonts w:ascii="Arial" w:cs="Arial" w:eastAsia="Arial" w:hAnsi="Arial"/>
                <w:sz w:val="10"/>
                <w:szCs w:val="10"/>
                <w:color w:val="auto"/>
              </w:rPr>
              <w:t>Disability Payments</w:t>
            </w:r>
          </w:p>
        </w:tc>
        <w:tc>
          <w:tcPr>
            <w:tcW w:w="80" w:type="dxa"/>
            <w:vAlign w:val="bottom"/>
            <w:vMerge w:val="restart"/>
          </w:tcPr>
          <w:p>
            <w:pPr>
              <w:spacing w:after="0"/>
              <w:rPr>
                <w:sz w:val="8"/>
                <w:szCs w:val="8"/>
                <w:color w:val="auto"/>
              </w:rPr>
            </w:pPr>
          </w:p>
        </w:tc>
        <w:tc>
          <w:tcPr>
            <w:tcW w:w="2080" w:type="dxa"/>
            <w:vAlign w:val="bottom"/>
            <w:vMerge w:val="restart"/>
          </w:tcPr>
          <w:p>
            <w:pPr>
              <w:jc w:val="right"/>
              <w:ind w:right="171"/>
              <w:spacing w:after="0"/>
              <w:rPr>
                <w:sz w:val="20"/>
                <w:szCs w:val="20"/>
                <w:color w:val="auto"/>
              </w:rPr>
            </w:pPr>
            <w:r>
              <w:rPr>
                <w:rFonts w:ascii="Arial" w:cs="Arial" w:eastAsia="Arial" w:hAnsi="Arial"/>
                <w:sz w:val="10"/>
                <w:szCs w:val="10"/>
                <w:color w:val="auto"/>
              </w:rPr>
              <w:t>272,499</w:t>
            </w:r>
          </w:p>
        </w:tc>
        <w:tc>
          <w:tcPr>
            <w:tcW w:w="16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6"/>
                <w:szCs w:val="6"/>
                <w:color w:val="auto"/>
              </w:rPr>
              <w:t>(3)</w:t>
            </w: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8"/>
                <w:szCs w:val="8"/>
                <w:color w:val="auto"/>
              </w:rPr>
            </w:pPr>
          </w:p>
        </w:tc>
        <w:tc>
          <w:tcPr>
            <w:tcW w:w="19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080" w:type="dxa"/>
            <w:vAlign w:val="bottom"/>
            <w:tcBorders>
              <w:bottom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90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ind w:left="180"/>
              <w:spacing w:after="0"/>
              <w:rPr>
                <w:sz w:val="20"/>
                <w:szCs w:val="20"/>
                <w:color w:val="auto"/>
              </w:rPr>
            </w:pPr>
            <w:r>
              <w:rPr>
                <w:rFonts w:ascii="Arial" w:cs="Arial" w:eastAsia="Arial" w:hAnsi="Arial"/>
                <w:sz w:val="10"/>
                <w:szCs w:val="10"/>
                <w:color w:val="auto"/>
              </w:rPr>
              <w:t>Total</w:t>
            </w:r>
          </w:p>
        </w:tc>
        <w:tc>
          <w:tcPr>
            <w:tcW w:w="2160" w:type="dxa"/>
            <w:vAlign w:val="bottom"/>
            <w:gridSpan w:val="2"/>
          </w:tcPr>
          <w:p>
            <w:pPr>
              <w:jc w:val="right"/>
              <w:ind w:right="171"/>
              <w:spacing w:after="0"/>
              <w:rPr>
                <w:sz w:val="20"/>
                <w:szCs w:val="20"/>
                <w:color w:val="auto"/>
              </w:rPr>
            </w:pPr>
            <w:r>
              <w:rPr>
                <w:rFonts w:ascii="Arial" w:cs="Arial" w:eastAsia="Arial" w:hAnsi="Arial"/>
                <w:sz w:val="10"/>
                <w:szCs w:val="10"/>
                <w:color w:val="auto"/>
              </w:rPr>
              <w:t>1,457,622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right"/>
              <w:ind w:right="171"/>
              <w:spacing w:after="0"/>
              <w:rPr>
                <w:sz w:val="20"/>
                <w:szCs w:val="20"/>
                <w:color w:val="auto"/>
              </w:rPr>
            </w:pPr>
            <w:r>
              <w:rPr>
                <w:rFonts w:ascii="Arial" w:cs="Arial" w:eastAsia="Arial" w:hAnsi="Arial"/>
                <w:sz w:val="10"/>
                <w:szCs w:val="10"/>
                <w:color w:val="auto"/>
              </w:rPr>
              <w:t>1,185,123</w:t>
            </w:r>
          </w:p>
        </w:tc>
        <w:tc>
          <w:tcPr>
            <w:tcW w:w="280" w:type="dxa"/>
            <w:vAlign w:val="bottom"/>
          </w:tcPr>
          <w:p>
            <w:pPr>
              <w:spacing w:after="0"/>
              <w:rPr>
                <w:sz w:val="12"/>
                <w:szCs w:val="12"/>
                <w:color w:val="auto"/>
              </w:rPr>
            </w:pPr>
          </w:p>
        </w:tc>
        <w:tc>
          <w:tcPr>
            <w:tcW w:w="1900" w:type="dxa"/>
            <w:vAlign w:val="bottom"/>
          </w:tcPr>
          <w:p>
            <w:pPr>
              <w:jc w:val="right"/>
              <w:ind w:right="110"/>
              <w:spacing w:after="0"/>
              <w:rPr>
                <w:sz w:val="20"/>
                <w:szCs w:val="20"/>
                <w:color w:val="auto"/>
              </w:rPr>
            </w:pPr>
            <w:r>
              <w:rPr>
                <w:rFonts w:ascii="Arial" w:cs="Arial" w:eastAsia="Arial" w:hAnsi="Arial"/>
                <w:sz w:val="10"/>
                <w:szCs w:val="10"/>
                <w:color w:val="auto"/>
              </w:rPr>
              <w:t>3,319,398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69" w:name="page70"/>
    <w:bookmarkEnd w:id="69"/>
    <w:tbl>
      <w:tblPr>
        <w:tblLayout w:type="fixed"/>
        <w:tblInd w:w="8"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6"/>
              </w:rPr>
              <w:t>Payments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9"/>
              </w:rPr>
              <w:t>Upon</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7"/>
              </w:rPr>
              <w:t>Involuntary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8"/>
              </w:rPr>
              <w:t>or Good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5"/>
              </w:rPr>
              <w:t>Reason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8"/>
              </w:rPr>
              <w:t>Termination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vMerge w:val="restart"/>
          </w:tcPr>
          <w:p>
            <w:pPr>
              <w:jc w:val="center"/>
              <w:ind w:left="669"/>
              <w:spacing w:after="0"/>
              <w:rPr>
                <w:sz w:val="20"/>
                <w:szCs w:val="20"/>
                <w:color w:val="auto"/>
              </w:rPr>
            </w:pPr>
            <w:r>
              <w:rPr>
                <w:rFonts w:ascii="Arial" w:cs="Arial" w:eastAsia="Arial" w:hAnsi="Arial"/>
                <w:sz w:val="11"/>
                <w:szCs w:val="11"/>
                <w:b w:val="1"/>
                <w:bCs w:val="1"/>
                <w:color w:val="05445E"/>
                <w:w w:val="99"/>
              </w:rPr>
              <w:t>Payments</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05445E"/>
                <w:w w:val="99"/>
              </w:rPr>
              <w:t>Payments</w:t>
            </w: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7"/>
              </w:rPr>
              <w:t>After 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line="117" w:lineRule="exact"/>
              <w:rPr>
                <w:sz w:val="20"/>
                <w:szCs w:val="20"/>
                <w:color w:val="auto"/>
              </w:rPr>
            </w:pPr>
            <w:r>
              <w:rPr>
                <w:rFonts w:ascii="Arial" w:cs="Arial" w:eastAsia="Arial" w:hAnsi="Arial"/>
                <w:sz w:val="11"/>
                <w:szCs w:val="11"/>
                <w:b w:val="1"/>
                <w:bCs w:val="1"/>
                <w:color w:val="05445E"/>
                <w:w w:val="97"/>
              </w:rPr>
              <w:t>Change-in-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center"/>
              <w:ind w:left="669"/>
              <w:spacing w:after="0"/>
              <w:rPr>
                <w:sz w:val="20"/>
                <w:szCs w:val="20"/>
                <w:color w:val="auto"/>
              </w:rPr>
            </w:pPr>
            <w:r>
              <w:rPr>
                <w:rFonts w:ascii="Arial" w:cs="Arial" w:eastAsia="Arial" w:hAnsi="Arial"/>
                <w:sz w:val="11"/>
                <w:szCs w:val="11"/>
                <w:b w:val="1"/>
                <w:bCs w:val="1"/>
                <w:color w:val="05445E"/>
                <w:w w:val="99"/>
              </w:rPr>
              <w:t>Upon</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05445E"/>
                <w:w w:val="99"/>
              </w:rPr>
              <w:t>Upon</w:t>
            </w:r>
          </w:p>
        </w:tc>
        <w:tc>
          <w:tcPr>
            <w:tcW w:w="28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w w:val="97"/>
              </w:rPr>
              <w:t>Control</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ind w:left="669"/>
              <w:spacing w:after="0"/>
              <w:rPr>
                <w:sz w:val="20"/>
                <w:szCs w:val="20"/>
                <w:color w:val="auto"/>
              </w:rPr>
            </w:pPr>
            <w:r>
              <w:rPr>
                <w:rFonts w:ascii="Arial" w:cs="Arial" w:eastAsia="Arial" w:hAnsi="Arial"/>
                <w:sz w:val="11"/>
                <w:szCs w:val="11"/>
                <w:b w:val="1"/>
                <w:bCs w:val="1"/>
                <w:color w:val="05445E"/>
                <w:w w:val="98"/>
              </w:rPr>
              <w:t>Disability</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05445E"/>
                <w:w w:val="98"/>
              </w:rPr>
              <w:t>Death</w:t>
            </w: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rPr>
              <w:t>Occurs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20"/>
                <w:szCs w:val="20"/>
                <w:color w:val="auto"/>
              </w:rPr>
            </w:pPr>
            <w:r>
              <w:rPr>
                <w:rFonts w:ascii="Arial" w:cs="Arial" w:eastAsia="Arial" w:hAnsi="Arial"/>
                <w:sz w:val="11"/>
                <w:szCs w:val="11"/>
                <w:b w:val="1"/>
                <w:bCs w:val="1"/>
                <w:color w:val="05445E"/>
              </w:rPr>
              <w:t>Name</w:t>
            </w:r>
          </w:p>
        </w:tc>
        <w:tc>
          <w:tcPr>
            <w:tcW w:w="80" w:type="dxa"/>
            <w:vAlign w:val="bottom"/>
          </w:tcPr>
          <w:p>
            <w:pPr>
              <w:spacing w:after="0"/>
              <w:rPr>
                <w:sz w:val="13"/>
                <w:szCs w:val="13"/>
                <w:color w:val="auto"/>
              </w:rPr>
            </w:pPr>
          </w:p>
        </w:tc>
        <w:tc>
          <w:tcPr>
            <w:tcW w:w="2340" w:type="dxa"/>
            <w:vAlign w:val="bottom"/>
          </w:tcPr>
          <w:p>
            <w:pPr>
              <w:ind w:left="740"/>
              <w:spacing w:after="0"/>
              <w:rPr>
                <w:sz w:val="20"/>
                <w:szCs w:val="20"/>
                <w:color w:val="auto"/>
              </w:rPr>
            </w:pPr>
            <w:r>
              <w:rPr>
                <w:rFonts w:ascii="Arial" w:cs="Arial" w:eastAsia="Arial" w:hAnsi="Arial"/>
                <w:sz w:val="11"/>
                <w:szCs w:val="11"/>
                <w:b w:val="1"/>
                <w:bCs w:val="1"/>
                <w:color w:val="05445E"/>
              </w:rPr>
              <w:t>Type of Payment</w:t>
            </w:r>
          </w:p>
        </w:tc>
        <w:tc>
          <w:tcPr>
            <w:tcW w:w="1440" w:type="dxa"/>
            <w:vAlign w:val="bottom"/>
            <w:gridSpan w:val="2"/>
          </w:tcPr>
          <w:p>
            <w:pPr>
              <w:jc w:val="center"/>
              <w:ind w:left="746"/>
              <w:spacing w:after="0"/>
              <w:rPr>
                <w:sz w:val="20"/>
                <w:szCs w:val="20"/>
                <w:color w:val="auto"/>
              </w:rPr>
            </w:pPr>
            <w:r>
              <w:rPr>
                <w:rFonts w:ascii="Arial" w:cs="Arial" w:eastAsia="Arial" w:hAnsi="Arial"/>
                <w:sz w:val="11"/>
                <w:szCs w:val="11"/>
                <w:b w:val="1"/>
                <w:bCs w:val="1"/>
                <w:color w:val="05445E"/>
                <w:w w:val="88"/>
              </w:rPr>
              <w:t>($)</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05445E"/>
              </w:rPr>
              <w:t>($)</w:t>
            </w:r>
          </w:p>
        </w:tc>
        <w:tc>
          <w:tcPr>
            <w:tcW w:w="2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05445E"/>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200" w:type="dxa"/>
            <w:vAlign w:val="bottom"/>
            <w:tcBorders>
              <w:top w:val="single" w:sz="8" w:color="929292"/>
            </w:tcBorders>
            <w:vMerge w:val="restart"/>
            <w:shd w:val="clear" w:color="auto" w:fill="DBDBDB"/>
          </w:tcPr>
          <w:p>
            <w:pPr>
              <w:spacing w:after="0"/>
              <w:rPr>
                <w:sz w:val="20"/>
                <w:szCs w:val="20"/>
                <w:color w:val="auto"/>
              </w:rPr>
            </w:pPr>
            <w:r>
              <w:rPr>
                <w:rFonts w:ascii="Arial" w:cs="Arial" w:eastAsia="Arial" w:hAnsi="Arial"/>
                <w:sz w:val="10"/>
                <w:szCs w:val="10"/>
                <w:color w:val="auto"/>
              </w:rPr>
              <w:t>Brent C.</w:t>
            </w:r>
          </w:p>
        </w:tc>
        <w:tc>
          <w:tcPr>
            <w:tcW w:w="80" w:type="dxa"/>
            <w:vAlign w:val="bottom"/>
            <w:tcBorders>
              <w:top w:val="single" w:sz="8" w:color="DBDBDB"/>
            </w:tcBorders>
            <w:shd w:val="clear" w:color="auto" w:fill="DBDBDB"/>
          </w:tcPr>
          <w:p>
            <w:pPr>
              <w:spacing w:after="0"/>
              <w:rPr>
                <w:sz w:val="5"/>
                <w:szCs w:val="5"/>
                <w:color w:val="auto"/>
              </w:rPr>
            </w:pPr>
          </w:p>
        </w:tc>
        <w:tc>
          <w:tcPr>
            <w:tcW w:w="2340" w:type="dxa"/>
            <w:vAlign w:val="bottom"/>
            <w:tcBorders>
              <w:top w:val="single" w:sz="8" w:color="929292"/>
            </w:tcBorders>
            <w:vMerge w:val="restart"/>
            <w:shd w:val="clear" w:color="auto" w:fill="DBDBDB"/>
          </w:tcPr>
          <w:p>
            <w:pPr>
              <w:ind w:left="20"/>
              <w:spacing w:after="0"/>
              <w:rPr>
                <w:sz w:val="20"/>
                <w:szCs w:val="20"/>
                <w:color w:val="auto"/>
              </w:rPr>
            </w:pPr>
            <w:r>
              <w:rPr>
                <w:rFonts w:ascii="Arial" w:cs="Arial" w:eastAsia="Arial" w:hAnsi="Arial"/>
                <w:sz w:val="10"/>
                <w:szCs w:val="10"/>
                <w:color w:val="auto"/>
              </w:rPr>
              <w:t>Cash Severance Payment</w:t>
            </w:r>
          </w:p>
        </w:tc>
        <w:tc>
          <w:tcPr>
            <w:tcW w:w="80" w:type="dxa"/>
            <w:vAlign w:val="bottom"/>
            <w:tcBorders>
              <w:top w:val="single" w:sz="8" w:color="DBDBDB"/>
            </w:tcBorders>
            <w:shd w:val="clear" w:color="auto" w:fill="DBDBDB"/>
          </w:tcPr>
          <w:p>
            <w:pPr>
              <w:spacing w:after="0"/>
              <w:rPr>
                <w:sz w:val="5"/>
                <w:szCs w:val="5"/>
                <w:color w:val="auto"/>
              </w:rPr>
            </w:pPr>
          </w:p>
        </w:tc>
        <w:tc>
          <w:tcPr>
            <w:tcW w:w="1360" w:type="dxa"/>
            <w:vAlign w:val="bottom"/>
            <w:tcBorders>
              <w:top w:val="single" w:sz="8" w:color="929292"/>
            </w:tcBorders>
            <w:vMerge w:val="restart"/>
            <w:shd w:val="clear" w:color="auto" w:fill="DBDBDB"/>
          </w:tcPr>
          <w:p>
            <w:pPr>
              <w:jc w:val="center"/>
              <w:ind w:left="689"/>
              <w:spacing w:after="0"/>
              <w:rPr>
                <w:sz w:val="20"/>
                <w:szCs w:val="20"/>
                <w:color w:val="auto"/>
              </w:rPr>
            </w:pPr>
            <w:r>
              <w:rPr>
                <w:rFonts w:ascii="Arial" w:cs="Arial" w:eastAsia="Arial" w:hAnsi="Arial"/>
                <w:sz w:val="10"/>
                <w:szCs w:val="10"/>
                <w:color w:val="auto"/>
                <w:w w:val="99"/>
              </w:rPr>
              <w:t>—</w:t>
            </w:r>
          </w:p>
        </w:tc>
        <w:tc>
          <w:tcPr>
            <w:tcW w:w="720" w:type="dxa"/>
            <w:vAlign w:val="bottom"/>
            <w:tcBorders>
              <w:top w:val="single" w:sz="8" w:color="929292"/>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1720" w:type="dxa"/>
            <w:vAlign w:val="bottom"/>
            <w:tcBorders>
              <w:top w:val="single" w:sz="8" w:color="929292"/>
            </w:tcBorders>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top w:val="single" w:sz="8" w:color="DBDBDB"/>
            </w:tcBorders>
            <w:shd w:val="clear" w:color="auto" w:fill="DBDBDB"/>
          </w:tcPr>
          <w:p>
            <w:pPr>
              <w:spacing w:after="0"/>
              <w:rPr>
                <w:sz w:val="5"/>
                <w:szCs w:val="5"/>
                <w:color w:val="auto"/>
              </w:rPr>
            </w:pPr>
          </w:p>
        </w:tc>
        <w:tc>
          <w:tcPr>
            <w:tcW w:w="1900" w:type="dxa"/>
            <w:vAlign w:val="bottom"/>
            <w:tcBorders>
              <w:top w:val="single" w:sz="8" w:color="929292"/>
            </w:tcBorders>
            <w:vMerge w:val="restart"/>
            <w:shd w:val="clear" w:color="auto" w:fill="DBDBDB"/>
          </w:tcPr>
          <w:p>
            <w:pPr>
              <w:jc w:val="right"/>
              <w:ind w:right="248"/>
              <w:spacing w:after="0"/>
              <w:rPr>
                <w:sz w:val="20"/>
                <w:szCs w:val="20"/>
                <w:color w:val="auto"/>
              </w:rPr>
            </w:pPr>
            <w:r>
              <w:rPr>
                <w:rFonts w:ascii="Arial" w:cs="Arial" w:eastAsia="Arial" w:hAnsi="Arial"/>
                <w:sz w:val="10"/>
                <w:szCs w:val="10"/>
                <w:color w:val="auto"/>
              </w:rPr>
              <w:t>1,481,600</w:t>
            </w:r>
          </w:p>
        </w:tc>
        <w:tc>
          <w:tcPr>
            <w:tcW w:w="280" w:type="dxa"/>
            <w:vAlign w:val="bottom"/>
            <w:tcBorders>
              <w:top w:val="single" w:sz="8" w:color="DBDBDB"/>
            </w:tcBorders>
            <w:shd w:val="clear" w:color="auto" w:fill="DBDBDB"/>
          </w:tcPr>
          <w:p>
            <w:pPr>
              <w:jc w:val="right"/>
              <w:ind w:right="169"/>
              <w:spacing w:after="0" w:line="66" w:lineRule="exact"/>
              <w:rPr>
                <w:sz w:val="20"/>
                <w:szCs w:val="20"/>
                <w:color w:val="auto"/>
              </w:rPr>
            </w:pPr>
            <w:r>
              <w:rPr>
                <w:rFonts w:ascii="Arial" w:cs="Arial" w:eastAsia="Arial" w:hAnsi="Arial"/>
                <w:sz w:val="6"/>
                <w:szCs w:val="6"/>
                <w:color w:val="auto"/>
                <w:w w:val="81"/>
              </w:rPr>
              <w:t>(4)</w:t>
            </w:r>
          </w:p>
        </w:tc>
        <w:tc>
          <w:tcPr>
            <w:tcW w:w="0" w:type="dxa"/>
            <w:vAlign w:val="bottom"/>
          </w:tcPr>
          <w:p>
            <w:pPr>
              <w:spacing w:after="0"/>
              <w:rPr>
                <w:sz w:val="1"/>
                <w:szCs w:val="1"/>
                <w:color w:val="auto"/>
              </w:rPr>
            </w:pPr>
          </w:p>
        </w:tc>
      </w:tr>
      <w:tr>
        <w:trPr>
          <w:trHeight w:val="64"/>
        </w:trPr>
        <w:tc>
          <w:tcPr>
            <w:tcW w:w="2200" w:type="dxa"/>
            <w:vAlign w:val="bottom"/>
            <w:vMerge w:val="continue"/>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2340" w:type="dxa"/>
            <w:vAlign w:val="bottom"/>
            <w:vMerge w:val="continue"/>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360" w:type="dxa"/>
            <w:vAlign w:val="bottom"/>
            <w:vMerge w:val="continue"/>
            <w:shd w:val="clear" w:color="auto" w:fill="DBDBDB"/>
          </w:tcPr>
          <w:p>
            <w:pPr>
              <w:spacing w:after="0"/>
              <w:rPr>
                <w:sz w:val="5"/>
                <w:szCs w:val="5"/>
                <w:color w:val="auto"/>
              </w:rPr>
            </w:pPr>
          </w:p>
        </w:tc>
        <w:tc>
          <w:tcPr>
            <w:tcW w:w="720" w:type="dxa"/>
            <w:vAlign w:val="bottom"/>
            <w:shd w:val="clear" w:color="auto" w:fill="DBDBDB"/>
          </w:tcPr>
          <w:p>
            <w:pPr>
              <w:spacing w:after="0"/>
              <w:rPr>
                <w:sz w:val="5"/>
                <w:szCs w:val="5"/>
                <w:color w:val="auto"/>
              </w:rPr>
            </w:pPr>
          </w:p>
        </w:tc>
        <w:tc>
          <w:tcPr>
            <w:tcW w:w="340" w:type="dxa"/>
            <w:vAlign w:val="bottom"/>
            <w:shd w:val="clear" w:color="auto" w:fill="DBDBDB"/>
          </w:tcPr>
          <w:p>
            <w:pPr>
              <w:spacing w:after="0"/>
              <w:rPr>
                <w:sz w:val="5"/>
                <w:szCs w:val="5"/>
                <w:color w:val="auto"/>
              </w:rPr>
            </w:pPr>
          </w:p>
        </w:tc>
        <w:tc>
          <w:tcPr>
            <w:tcW w:w="1720" w:type="dxa"/>
            <w:vAlign w:val="bottom"/>
            <w:vMerge w:val="continue"/>
            <w:shd w:val="clear" w:color="auto" w:fill="DBDBDB"/>
          </w:tcPr>
          <w:p>
            <w:pPr>
              <w:spacing w:after="0"/>
              <w:rPr>
                <w:sz w:val="5"/>
                <w:szCs w:val="5"/>
                <w:color w:val="auto"/>
              </w:rPr>
            </w:pPr>
          </w:p>
        </w:tc>
        <w:tc>
          <w:tcPr>
            <w:tcW w:w="280" w:type="dxa"/>
            <w:vAlign w:val="bottom"/>
            <w:shd w:val="clear" w:color="auto" w:fill="DBDBDB"/>
          </w:tcPr>
          <w:p>
            <w:pPr>
              <w:spacing w:after="0"/>
              <w:rPr>
                <w:sz w:val="5"/>
                <w:szCs w:val="5"/>
                <w:color w:val="auto"/>
              </w:rPr>
            </w:pPr>
          </w:p>
        </w:tc>
        <w:tc>
          <w:tcPr>
            <w:tcW w:w="1900" w:type="dxa"/>
            <w:vAlign w:val="bottom"/>
            <w:vMerge w:val="continue"/>
            <w:shd w:val="clear" w:color="auto" w:fill="DBDBDB"/>
          </w:tcPr>
          <w:p>
            <w:pPr>
              <w:spacing w:after="0"/>
              <w:rPr>
                <w:sz w:val="5"/>
                <w:szCs w:val="5"/>
                <w:color w:val="auto"/>
              </w:rPr>
            </w:pPr>
          </w:p>
        </w:tc>
        <w:tc>
          <w:tcPr>
            <w:tcW w:w="2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spacing w:after="0"/>
              <w:rPr>
                <w:sz w:val="20"/>
                <w:szCs w:val="20"/>
                <w:color w:val="auto"/>
              </w:rPr>
            </w:pPr>
            <w:r>
              <w:rPr>
                <w:rFonts w:ascii="Arial" w:cs="Arial" w:eastAsia="Arial" w:hAnsi="Arial"/>
                <w:sz w:val="10"/>
                <w:szCs w:val="10"/>
                <w:color w:val="auto"/>
              </w:rPr>
              <w:t>Jewell</w:t>
            </w:r>
          </w:p>
        </w:tc>
        <w:tc>
          <w:tcPr>
            <w:tcW w:w="80" w:type="dxa"/>
            <w:vAlign w:val="bottom"/>
            <w:shd w:val="clear" w:color="auto" w:fill="DBDBDB"/>
          </w:tcPr>
          <w:p>
            <w:pPr>
              <w:spacing w:after="0"/>
              <w:rPr>
                <w:sz w:val="13"/>
                <w:szCs w:val="13"/>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Health Insurance Benefits</w:t>
            </w:r>
          </w:p>
        </w:tc>
        <w:tc>
          <w:tcPr>
            <w:tcW w:w="80" w:type="dxa"/>
            <w:vAlign w:val="bottom"/>
            <w:shd w:val="clear" w:color="auto" w:fill="DBDBDB"/>
          </w:tcPr>
          <w:p>
            <w:pPr>
              <w:spacing w:after="0"/>
              <w:rPr>
                <w:sz w:val="13"/>
                <w:szCs w:val="13"/>
                <w:color w:val="auto"/>
              </w:rPr>
            </w:pPr>
          </w:p>
        </w:tc>
        <w:tc>
          <w:tcPr>
            <w:tcW w:w="1360" w:type="dxa"/>
            <w:vAlign w:val="bottom"/>
            <w:shd w:val="clear" w:color="auto" w:fill="DBDBDB"/>
          </w:tcPr>
          <w:p>
            <w:pPr>
              <w:jc w:val="center"/>
              <w:ind w:left="689"/>
              <w:spacing w:after="0"/>
              <w:rPr>
                <w:sz w:val="20"/>
                <w:szCs w:val="20"/>
                <w:color w:val="auto"/>
              </w:rPr>
            </w:pPr>
            <w:r>
              <w:rPr>
                <w:rFonts w:ascii="Arial" w:cs="Arial" w:eastAsia="Arial" w:hAnsi="Arial"/>
                <w:sz w:val="10"/>
                <w:szCs w:val="10"/>
                <w:color w:val="auto"/>
                <w:w w:val="99"/>
              </w:rPr>
              <w:t>—</w:t>
            </w:r>
          </w:p>
        </w:tc>
        <w:tc>
          <w:tcPr>
            <w:tcW w:w="72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13"/>
                <w:szCs w:val="13"/>
                <w:color w:val="auto"/>
              </w:rPr>
            </w:pPr>
          </w:p>
        </w:tc>
        <w:tc>
          <w:tcPr>
            <w:tcW w:w="1900" w:type="dxa"/>
            <w:vAlign w:val="bottom"/>
            <w:shd w:val="clear" w:color="auto" w:fill="DBDBDB"/>
          </w:tcPr>
          <w:p>
            <w:pPr>
              <w:jc w:val="right"/>
              <w:ind w:right="248"/>
              <w:spacing w:after="0"/>
              <w:rPr>
                <w:sz w:val="20"/>
                <w:szCs w:val="20"/>
                <w:color w:val="auto"/>
              </w:rPr>
            </w:pPr>
            <w:r>
              <w:rPr>
                <w:rFonts w:ascii="Arial" w:cs="Arial" w:eastAsia="Arial" w:hAnsi="Arial"/>
                <w:sz w:val="10"/>
                <w:szCs w:val="10"/>
                <w:color w:val="auto"/>
              </w:rPr>
              <w:t>45,937</w:t>
            </w: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20"/>
              <w:spacing w:after="0"/>
              <w:rPr>
                <w:sz w:val="20"/>
                <w:szCs w:val="20"/>
                <w:color w:val="auto"/>
              </w:rPr>
            </w:pPr>
            <w:r>
              <w:rPr>
                <w:rFonts w:ascii="Arial" w:cs="Arial" w:eastAsia="Arial" w:hAnsi="Arial"/>
                <w:sz w:val="10"/>
                <w:szCs w:val="10"/>
                <w:color w:val="auto"/>
              </w:rPr>
              <w:t>Reimbursement of Legal Costs</w:t>
            </w:r>
          </w:p>
        </w:tc>
        <w:tc>
          <w:tcPr>
            <w:tcW w:w="80" w:type="dxa"/>
            <w:vAlign w:val="bottom"/>
            <w:shd w:val="clear" w:color="auto" w:fill="DBDBDB"/>
          </w:tcPr>
          <w:p>
            <w:pPr>
              <w:spacing w:after="0"/>
              <w:rPr>
                <w:sz w:val="8"/>
                <w:szCs w:val="8"/>
                <w:color w:val="auto"/>
              </w:rPr>
            </w:pPr>
          </w:p>
        </w:tc>
        <w:tc>
          <w:tcPr>
            <w:tcW w:w="1360" w:type="dxa"/>
            <w:vAlign w:val="bottom"/>
            <w:vMerge w:val="restart"/>
            <w:shd w:val="clear" w:color="auto" w:fill="DBDBDB"/>
          </w:tcPr>
          <w:p>
            <w:pPr>
              <w:jc w:val="center"/>
              <w:ind w:left="689"/>
              <w:spacing w:after="0"/>
              <w:rPr>
                <w:sz w:val="20"/>
                <w:szCs w:val="20"/>
                <w:color w:val="auto"/>
              </w:rPr>
            </w:pPr>
            <w:r>
              <w:rPr>
                <w:rFonts w:ascii="Arial" w:cs="Arial" w:eastAsia="Arial" w:hAnsi="Arial"/>
                <w:sz w:val="10"/>
                <w:szCs w:val="10"/>
                <w:color w:val="auto"/>
                <w:w w:val="99"/>
              </w:rPr>
              <w:t>—</w:t>
            </w:r>
          </w:p>
        </w:tc>
        <w:tc>
          <w:tcPr>
            <w:tcW w:w="72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spacing w:after="0"/>
              <w:rPr>
                <w:sz w:val="8"/>
                <w:szCs w:val="8"/>
                <w:color w:val="auto"/>
              </w:rPr>
            </w:pPr>
          </w:p>
        </w:tc>
        <w:tc>
          <w:tcPr>
            <w:tcW w:w="190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vMerge w:val="continue"/>
            <w:shd w:val="clear" w:color="auto" w:fill="DBDBDB"/>
          </w:tcPr>
          <w:p>
            <w:pPr>
              <w:spacing w:after="0"/>
              <w:rPr>
                <w:sz w:val="4"/>
                <w:szCs w:val="4"/>
                <w:color w:val="auto"/>
              </w:rPr>
            </w:pPr>
          </w:p>
        </w:tc>
        <w:tc>
          <w:tcPr>
            <w:tcW w:w="720" w:type="dxa"/>
            <w:vAlign w:val="bottom"/>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340" w:type="dxa"/>
            <w:vAlign w:val="bottom"/>
            <w:shd w:val="clear" w:color="auto" w:fill="DBDBDB"/>
          </w:tcPr>
          <w:p>
            <w:pPr>
              <w:ind w:left="20"/>
              <w:spacing w:after="0"/>
              <w:rPr>
                <w:sz w:val="20"/>
                <w:szCs w:val="20"/>
                <w:color w:val="auto"/>
              </w:rPr>
            </w:pPr>
            <w:r>
              <w:rPr>
                <w:rFonts w:ascii="Arial" w:cs="Arial" w:eastAsia="Arial" w:hAnsi="Arial"/>
                <w:sz w:val="10"/>
                <w:szCs w:val="10"/>
                <w:color w:val="auto"/>
              </w:rPr>
              <w:t>Acceleration of Vesting</w:t>
            </w:r>
          </w:p>
        </w:tc>
        <w:tc>
          <w:tcPr>
            <w:tcW w:w="8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72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90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180"/>
              <w:spacing w:after="0"/>
              <w:rPr>
                <w:sz w:val="20"/>
                <w:szCs w:val="20"/>
                <w:color w:val="auto"/>
              </w:rPr>
            </w:pPr>
            <w:r>
              <w:rPr>
                <w:rFonts w:ascii="Arial" w:cs="Arial" w:eastAsia="Arial" w:hAnsi="Arial"/>
                <w:sz w:val="10"/>
                <w:szCs w:val="10"/>
                <w:color w:val="auto"/>
              </w:rPr>
              <w:t>Restricted Stock</w:t>
            </w:r>
          </w:p>
        </w:tc>
        <w:tc>
          <w:tcPr>
            <w:tcW w:w="80" w:type="dxa"/>
            <w:vAlign w:val="bottom"/>
            <w:shd w:val="clear" w:color="auto" w:fill="DBDBDB"/>
          </w:tcPr>
          <w:p>
            <w:pPr>
              <w:spacing w:after="0"/>
              <w:rPr>
                <w:sz w:val="8"/>
                <w:szCs w:val="8"/>
                <w:color w:val="auto"/>
              </w:rPr>
            </w:pPr>
          </w:p>
        </w:tc>
        <w:tc>
          <w:tcPr>
            <w:tcW w:w="1360" w:type="dxa"/>
            <w:vAlign w:val="bottom"/>
            <w:shd w:val="clear" w:color="auto" w:fill="DBDBDB"/>
          </w:tcPr>
          <w:p>
            <w:pPr>
              <w:spacing w:after="0"/>
              <w:rPr>
                <w:sz w:val="8"/>
                <w:szCs w:val="8"/>
                <w:color w:val="auto"/>
              </w:rPr>
            </w:pPr>
          </w:p>
        </w:tc>
        <w:tc>
          <w:tcPr>
            <w:tcW w:w="720" w:type="dxa"/>
            <w:vAlign w:val="bottom"/>
            <w:vMerge w:val="restart"/>
            <w:shd w:val="clear" w:color="auto" w:fill="DBDBDB"/>
          </w:tcPr>
          <w:p>
            <w:pPr>
              <w:jc w:val="right"/>
              <w:ind w:right="172"/>
              <w:spacing w:after="0"/>
              <w:rPr>
                <w:sz w:val="20"/>
                <w:szCs w:val="20"/>
                <w:color w:val="auto"/>
              </w:rPr>
            </w:pPr>
            <w:r>
              <w:rPr>
                <w:rFonts w:ascii="Arial" w:cs="Arial" w:eastAsia="Arial" w:hAnsi="Arial"/>
                <w:sz w:val="10"/>
                <w:szCs w:val="10"/>
                <w:color w:val="auto"/>
              </w:rPr>
              <w:t>1,118,862</w:t>
            </w:r>
          </w:p>
        </w:tc>
        <w:tc>
          <w:tcPr>
            <w:tcW w:w="340" w:type="dxa"/>
            <w:vAlign w:val="bottom"/>
            <w:shd w:val="clear" w:color="auto" w:fill="DBDBDB"/>
          </w:tcPr>
          <w:p>
            <w:pPr>
              <w:jc w:val="right"/>
              <w:ind w:right="229"/>
              <w:spacing w:after="0"/>
              <w:rPr>
                <w:sz w:val="20"/>
                <w:szCs w:val="20"/>
                <w:color w:val="auto"/>
              </w:rPr>
            </w:pPr>
            <w:r>
              <w:rPr>
                <w:rFonts w:ascii="Arial" w:cs="Arial" w:eastAsia="Arial" w:hAnsi="Arial"/>
                <w:sz w:val="6"/>
                <w:szCs w:val="6"/>
                <w:color w:val="auto"/>
                <w:w w:val="81"/>
              </w:rPr>
              <w:t>(2)</w:t>
            </w:r>
          </w:p>
        </w:tc>
        <w:tc>
          <w:tcPr>
            <w:tcW w:w="1720" w:type="dxa"/>
            <w:vAlign w:val="bottom"/>
            <w:vMerge w:val="restart"/>
            <w:shd w:val="clear" w:color="auto" w:fill="DBDBDB"/>
          </w:tcPr>
          <w:p>
            <w:pPr>
              <w:jc w:val="right"/>
              <w:ind w:right="170"/>
              <w:spacing w:after="0"/>
              <w:rPr>
                <w:sz w:val="20"/>
                <w:szCs w:val="20"/>
                <w:color w:val="auto"/>
              </w:rPr>
            </w:pPr>
            <w:r>
              <w:rPr>
                <w:rFonts w:ascii="Arial" w:cs="Arial" w:eastAsia="Arial" w:hAnsi="Arial"/>
                <w:sz w:val="10"/>
                <w:szCs w:val="10"/>
                <w:color w:val="auto"/>
              </w:rPr>
              <w:t>1,118,862</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(2)</w:t>
            </w:r>
          </w:p>
        </w:tc>
        <w:tc>
          <w:tcPr>
            <w:tcW w:w="1900" w:type="dxa"/>
            <w:vAlign w:val="bottom"/>
            <w:vMerge w:val="restart"/>
            <w:shd w:val="clear" w:color="auto" w:fill="DBDBDB"/>
          </w:tcPr>
          <w:p>
            <w:pPr>
              <w:jc w:val="right"/>
              <w:ind w:right="248"/>
              <w:spacing w:after="0"/>
              <w:rPr>
                <w:sz w:val="20"/>
                <w:szCs w:val="20"/>
                <w:color w:val="auto"/>
              </w:rPr>
            </w:pPr>
            <w:r>
              <w:rPr>
                <w:rFonts w:ascii="Arial" w:cs="Arial" w:eastAsia="Arial" w:hAnsi="Arial"/>
                <w:sz w:val="10"/>
                <w:szCs w:val="10"/>
                <w:color w:val="auto"/>
              </w:rPr>
              <w:t>1,118,862</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(2)</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shd w:val="clear" w:color="auto" w:fill="DBDBDB"/>
          </w:tcPr>
          <w:p>
            <w:pPr>
              <w:spacing w:after="0"/>
              <w:rPr>
                <w:sz w:val="4"/>
                <w:szCs w:val="4"/>
                <w:color w:val="auto"/>
              </w:rPr>
            </w:pPr>
          </w:p>
        </w:tc>
        <w:tc>
          <w:tcPr>
            <w:tcW w:w="720" w:type="dxa"/>
            <w:vAlign w:val="bottom"/>
            <w:vMerge w:val="continue"/>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340" w:type="dxa"/>
            <w:vAlign w:val="bottom"/>
            <w:vMerge w:val="restart"/>
            <w:shd w:val="clear" w:color="auto" w:fill="DBDBDB"/>
          </w:tcPr>
          <w:p>
            <w:pPr>
              <w:ind w:left="180"/>
              <w:spacing w:after="0"/>
              <w:rPr>
                <w:sz w:val="20"/>
                <w:szCs w:val="20"/>
                <w:color w:val="auto"/>
              </w:rPr>
            </w:pPr>
            <w:r>
              <w:rPr>
                <w:rFonts w:ascii="Arial" w:cs="Arial" w:eastAsia="Arial" w:hAnsi="Arial"/>
                <w:sz w:val="10"/>
                <w:szCs w:val="10"/>
                <w:color w:val="auto"/>
              </w:rPr>
              <w:t>Performance Awards</w:t>
            </w:r>
          </w:p>
        </w:tc>
        <w:tc>
          <w:tcPr>
            <w:tcW w:w="80" w:type="dxa"/>
            <w:vAlign w:val="bottom"/>
            <w:shd w:val="clear" w:color="auto" w:fill="DBDBDB"/>
          </w:tcPr>
          <w:p>
            <w:pPr>
              <w:spacing w:after="0"/>
              <w:rPr>
                <w:sz w:val="8"/>
                <w:szCs w:val="8"/>
                <w:color w:val="auto"/>
              </w:rPr>
            </w:pPr>
          </w:p>
        </w:tc>
        <w:tc>
          <w:tcPr>
            <w:tcW w:w="1360" w:type="dxa"/>
            <w:vAlign w:val="bottom"/>
            <w:vMerge w:val="restart"/>
            <w:shd w:val="clear" w:color="auto" w:fill="DBDBDB"/>
          </w:tcPr>
          <w:p>
            <w:pPr>
              <w:jc w:val="center"/>
              <w:ind w:left="689"/>
              <w:spacing w:after="0"/>
              <w:rPr>
                <w:sz w:val="20"/>
                <w:szCs w:val="20"/>
                <w:color w:val="auto"/>
              </w:rPr>
            </w:pPr>
            <w:r>
              <w:rPr>
                <w:rFonts w:ascii="Arial" w:cs="Arial" w:eastAsia="Arial" w:hAnsi="Arial"/>
                <w:sz w:val="10"/>
                <w:szCs w:val="10"/>
                <w:color w:val="auto"/>
                <w:w w:val="99"/>
              </w:rPr>
              <w:t>—</w:t>
            </w:r>
          </w:p>
        </w:tc>
        <w:tc>
          <w:tcPr>
            <w:tcW w:w="720" w:type="dxa"/>
            <w:vAlign w:val="bottom"/>
            <w:shd w:val="clear" w:color="auto" w:fill="DBDBDB"/>
          </w:tcPr>
          <w:p>
            <w:pPr>
              <w:spacing w:after="0"/>
              <w:rPr>
                <w:sz w:val="8"/>
                <w:szCs w:val="8"/>
                <w:color w:val="auto"/>
              </w:rPr>
            </w:pPr>
          </w:p>
        </w:tc>
        <w:tc>
          <w:tcPr>
            <w:tcW w:w="340" w:type="dxa"/>
            <w:vAlign w:val="bottom"/>
            <w:shd w:val="clear" w:color="auto" w:fill="DBDBDB"/>
          </w:tcPr>
          <w:p>
            <w:pPr>
              <w:jc w:val="right"/>
              <w:ind w:right="229"/>
              <w:spacing w:after="0"/>
              <w:rPr>
                <w:sz w:val="20"/>
                <w:szCs w:val="20"/>
                <w:color w:val="auto"/>
              </w:rPr>
            </w:pPr>
            <w:r>
              <w:rPr>
                <w:rFonts w:ascii="Arial" w:cs="Arial" w:eastAsia="Arial" w:hAnsi="Arial"/>
                <w:sz w:val="6"/>
                <w:szCs w:val="6"/>
                <w:color w:val="auto"/>
                <w:w w:val="81"/>
              </w:rPr>
              <w:t>(6)</w:t>
            </w: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(6)</w:t>
            </w:r>
          </w:p>
        </w:tc>
        <w:tc>
          <w:tcPr>
            <w:tcW w:w="1900" w:type="dxa"/>
            <w:vAlign w:val="bottom"/>
            <w:vMerge w:val="restart"/>
            <w:shd w:val="clear" w:color="auto" w:fill="DBDBDB"/>
          </w:tcPr>
          <w:p>
            <w:pPr>
              <w:jc w:val="right"/>
              <w:ind w:right="248"/>
              <w:spacing w:after="0"/>
              <w:rPr>
                <w:sz w:val="20"/>
                <w:szCs w:val="20"/>
                <w:color w:val="auto"/>
              </w:rPr>
            </w:pPr>
            <w:r>
              <w:rPr>
                <w:rFonts w:ascii="Arial" w:cs="Arial" w:eastAsia="Arial" w:hAnsi="Arial"/>
                <w:sz w:val="10"/>
                <w:szCs w:val="10"/>
                <w:color w:val="auto"/>
              </w:rPr>
              <w:t>736,696</w:t>
            </w:r>
          </w:p>
        </w:tc>
        <w:tc>
          <w:tcPr>
            <w:tcW w:w="280" w:type="dxa"/>
            <w:vAlign w:val="bottom"/>
            <w:shd w:val="clear" w:color="auto" w:fill="DBDBDB"/>
          </w:tcPr>
          <w:p>
            <w:pPr>
              <w:jc w:val="right"/>
              <w:ind w:right="169"/>
              <w:spacing w:after="0"/>
              <w:rPr>
                <w:sz w:val="20"/>
                <w:szCs w:val="20"/>
                <w:color w:val="auto"/>
              </w:rPr>
            </w:pPr>
            <w:r>
              <w:rPr>
                <w:rFonts w:ascii="Arial" w:cs="Arial" w:eastAsia="Arial" w:hAnsi="Arial"/>
                <w:sz w:val="6"/>
                <w:szCs w:val="6"/>
                <w:color w:val="auto"/>
                <w:w w:val="81"/>
              </w:rPr>
              <w:t>(7)</w:t>
            </w:r>
          </w:p>
        </w:tc>
        <w:tc>
          <w:tcPr>
            <w:tcW w:w="0" w:type="dxa"/>
            <w:vAlign w:val="bottom"/>
          </w:tcPr>
          <w:p>
            <w:pPr>
              <w:spacing w:after="0"/>
              <w:rPr>
                <w:sz w:val="1"/>
                <w:szCs w:val="1"/>
                <w:color w:val="auto"/>
              </w:rPr>
            </w:pPr>
          </w:p>
        </w:tc>
      </w:tr>
      <w:tr>
        <w:trPr>
          <w:trHeight w:val="55"/>
        </w:trPr>
        <w:tc>
          <w:tcPr>
            <w:tcW w:w="2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23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360" w:type="dxa"/>
            <w:vAlign w:val="bottom"/>
            <w:vMerge w:val="continue"/>
            <w:shd w:val="clear" w:color="auto" w:fill="DBDBDB"/>
          </w:tcPr>
          <w:p>
            <w:pPr>
              <w:spacing w:after="0"/>
              <w:rPr>
                <w:sz w:val="4"/>
                <w:szCs w:val="4"/>
                <w:color w:val="auto"/>
              </w:rPr>
            </w:pPr>
          </w:p>
        </w:tc>
        <w:tc>
          <w:tcPr>
            <w:tcW w:w="720" w:type="dxa"/>
            <w:vAlign w:val="bottom"/>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172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1900" w:type="dxa"/>
            <w:vAlign w:val="bottom"/>
            <w:vMerge w:val="continue"/>
            <w:shd w:val="clear" w:color="auto" w:fill="DBDBDB"/>
          </w:tcPr>
          <w:p>
            <w:pPr>
              <w:spacing w:after="0"/>
              <w:rPr>
                <w:sz w:val="4"/>
                <w:szCs w:val="4"/>
                <w:color w:val="auto"/>
              </w:rPr>
            </w:pPr>
          </w:p>
        </w:tc>
        <w:tc>
          <w:tcPr>
            <w:tcW w:w="2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2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Disability Payments</w:t>
            </w:r>
          </w:p>
        </w:tc>
        <w:tc>
          <w:tcPr>
            <w:tcW w:w="8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jc w:val="right"/>
              <w:ind w:right="172"/>
              <w:spacing w:after="0"/>
              <w:rPr>
                <w:sz w:val="20"/>
                <w:szCs w:val="20"/>
                <w:color w:val="auto"/>
              </w:rPr>
            </w:pPr>
            <w:r>
              <w:rPr>
                <w:rFonts w:ascii="Arial" w:cs="Arial" w:eastAsia="Arial" w:hAnsi="Arial"/>
                <w:sz w:val="10"/>
                <w:szCs w:val="10"/>
                <w:color w:val="auto"/>
              </w:rPr>
              <w:t>250,749</w:t>
            </w:r>
          </w:p>
        </w:tc>
        <w:tc>
          <w:tcPr>
            <w:tcW w:w="34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6"/>
                <w:szCs w:val="6"/>
                <w:color w:val="auto"/>
                <w:w w:val="81"/>
              </w:rPr>
              <w:t>(3)</w:t>
            </w:r>
          </w:p>
        </w:tc>
        <w:tc>
          <w:tcPr>
            <w:tcW w:w="1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bottom w:val="single" w:sz="8" w:color="DBDBDB"/>
            </w:tcBorders>
            <w:shd w:val="clear" w:color="auto" w:fill="DBDBDB"/>
          </w:tcPr>
          <w:p>
            <w:pPr>
              <w:spacing w:after="0"/>
              <w:rPr>
                <w:sz w:val="13"/>
                <w:szCs w:val="13"/>
                <w:color w:val="auto"/>
              </w:rPr>
            </w:pP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0" w:type="dxa"/>
            <w:vAlign w:val="bottom"/>
            <w:tcBorders>
              <w:top w:val="single" w:sz="8" w:color="DBDBDB"/>
              <w:bottom w:val="single" w:sz="8" w:color="DBDBDB"/>
            </w:tcBorders>
            <w:shd w:val="clear" w:color="auto" w:fill="DBDBDB"/>
          </w:tcPr>
          <w:p>
            <w:pPr>
              <w:spacing w:after="0"/>
              <w:rPr>
                <w:sz w:val="14"/>
                <w:szCs w:val="14"/>
                <w:color w:val="auto"/>
              </w:rPr>
            </w:pP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2340" w:type="dxa"/>
            <w:vAlign w:val="bottom"/>
            <w:tcBorders>
              <w:top w:val="single" w:sz="8" w:color="DBDBDB"/>
              <w:bottom w:val="single" w:sz="8" w:color="DBDBDB"/>
            </w:tcBorders>
            <w:shd w:val="clear" w:color="auto" w:fill="DBDBDB"/>
          </w:tcPr>
          <w:p>
            <w:pPr>
              <w:ind w:left="18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1360" w:type="dxa"/>
            <w:vAlign w:val="bottom"/>
            <w:tcBorders>
              <w:top w:val="single" w:sz="8" w:color="auto"/>
              <w:bottom w:val="single" w:sz="8" w:color="auto"/>
            </w:tcBorders>
            <w:shd w:val="clear" w:color="auto" w:fill="DBDBDB"/>
          </w:tcPr>
          <w:p>
            <w:pPr>
              <w:spacing w:after="0"/>
              <w:rPr>
                <w:sz w:val="14"/>
                <w:szCs w:val="14"/>
                <w:color w:val="auto"/>
              </w:rPr>
            </w:pPr>
          </w:p>
        </w:tc>
        <w:tc>
          <w:tcPr>
            <w:tcW w:w="720" w:type="dxa"/>
            <w:vAlign w:val="bottom"/>
            <w:tcBorders>
              <w:top w:val="single" w:sz="8" w:color="auto"/>
              <w:bottom w:val="single" w:sz="8" w:color="auto"/>
            </w:tcBorders>
            <w:shd w:val="clear" w:color="auto" w:fill="DBDBDB"/>
          </w:tcPr>
          <w:p>
            <w:pPr>
              <w:jc w:val="right"/>
              <w:ind w:right="172"/>
              <w:spacing w:after="0"/>
              <w:rPr>
                <w:sz w:val="20"/>
                <w:szCs w:val="20"/>
                <w:color w:val="auto"/>
              </w:rPr>
            </w:pPr>
            <w:r>
              <w:rPr>
                <w:rFonts w:ascii="Arial" w:cs="Arial" w:eastAsia="Arial" w:hAnsi="Arial"/>
                <w:sz w:val="10"/>
                <w:szCs w:val="10"/>
                <w:color w:val="auto"/>
              </w:rPr>
              <w:t>1,369,611</w:t>
            </w:r>
          </w:p>
        </w:tc>
        <w:tc>
          <w:tcPr>
            <w:tcW w:w="340" w:type="dxa"/>
            <w:vAlign w:val="bottom"/>
            <w:tcBorders>
              <w:top w:val="single" w:sz="8" w:color="DBDBDB"/>
              <w:bottom w:val="single" w:sz="8" w:color="DBDBDB"/>
            </w:tcBorders>
            <w:shd w:val="clear" w:color="auto" w:fill="DBDBDB"/>
          </w:tcPr>
          <w:p>
            <w:pPr>
              <w:spacing w:after="0"/>
              <w:rPr>
                <w:sz w:val="14"/>
                <w:szCs w:val="14"/>
                <w:color w:val="auto"/>
              </w:rPr>
            </w:pPr>
          </w:p>
        </w:tc>
        <w:tc>
          <w:tcPr>
            <w:tcW w:w="172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Arial" w:cs="Arial" w:eastAsia="Arial" w:hAnsi="Arial"/>
                <w:sz w:val="10"/>
                <w:szCs w:val="10"/>
                <w:color w:val="auto"/>
              </w:rPr>
              <w:t>1,118,862</w:t>
            </w:r>
          </w:p>
        </w:tc>
        <w:tc>
          <w:tcPr>
            <w:tcW w:w="280" w:type="dxa"/>
            <w:vAlign w:val="bottom"/>
            <w:tcBorders>
              <w:top w:val="single" w:sz="8" w:color="DBDBDB"/>
              <w:bottom w:val="single" w:sz="8" w:color="DBDBDB"/>
            </w:tcBorders>
            <w:shd w:val="clear" w:color="auto" w:fill="DBDBDB"/>
          </w:tcPr>
          <w:p>
            <w:pPr>
              <w:spacing w:after="0"/>
              <w:rPr>
                <w:sz w:val="14"/>
                <w:szCs w:val="14"/>
                <w:color w:val="auto"/>
              </w:rPr>
            </w:pPr>
          </w:p>
        </w:tc>
        <w:tc>
          <w:tcPr>
            <w:tcW w:w="1900" w:type="dxa"/>
            <w:vAlign w:val="bottom"/>
            <w:tcBorders>
              <w:top w:val="single" w:sz="8" w:color="auto"/>
              <w:bottom w:val="single" w:sz="8" w:color="auto"/>
            </w:tcBorders>
            <w:shd w:val="clear" w:color="auto" w:fill="DBDBDB"/>
          </w:tcPr>
          <w:p>
            <w:pPr>
              <w:jc w:val="right"/>
              <w:ind w:right="248"/>
              <w:spacing w:after="0"/>
              <w:rPr>
                <w:sz w:val="20"/>
                <w:szCs w:val="20"/>
                <w:color w:val="auto"/>
              </w:rPr>
            </w:pPr>
            <w:r>
              <w:rPr>
                <w:rFonts w:ascii="Arial" w:cs="Arial" w:eastAsia="Arial" w:hAnsi="Arial"/>
                <w:sz w:val="10"/>
                <w:szCs w:val="10"/>
                <w:color w:val="auto"/>
              </w:rPr>
              <w:t>3,383,095</w:t>
            </w:r>
          </w:p>
        </w:tc>
        <w:tc>
          <w:tcPr>
            <w:tcW w:w="280" w:type="dxa"/>
            <w:vAlign w:val="bottom"/>
            <w:tcBorders>
              <w:top w:val="single" w:sz="8" w:color="DBDBDB"/>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08" w:hanging="308"/>
        <w:spacing w:after="0"/>
        <w:tabs>
          <w:tab w:leader="none" w:pos="3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Mr. Nolan became a Named Executive Officer as of the closed of business on October 31, 2025, during fiscal 2026.</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restricted stock awards, which would vest upon an assumed occurrence on February 27, 2026, of one of the specified events. The amount in this table represents such aggregate number of shares multiplied by $39.82, the closing price of our common stock on the Nasdaq Global Select Market on February 27, 2026, the last trading day of fiscal 2026.</w:t>
      </w:r>
    </w:p>
    <w:p>
      <w:pPr>
        <w:spacing w:after="0" w:line="31" w:lineRule="exact"/>
        <w:rPr>
          <w:rFonts w:ascii="Arial" w:cs="Arial" w:eastAsia="Arial" w:hAnsi="Arial"/>
          <w:sz w:val="12"/>
          <w:szCs w:val="12"/>
          <w:color w:val="auto"/>
        </w:rPr>
      </w:pPr>
    </w:p>
    <w:p>
      <w:pPr>
        <w:ind w:left="308" w:hanging="308"/>
        <w:spacing w:after="0"/>
        <w:tabs>
          <w:tab w:leader="none" w:pos="3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This amount represents the annual disability payments during the first year of disability. Annual disability payments after the first year of disability would be $180,000 for each Named Executive Officer.</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Equals the sum of (a) two times their annual base salary as of February 28, 2026, and (b) two times their fiscal 2026 short-term cash incentive award at target level performance, payable in a lump sum.</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Company will pay legal fees and expenses incurred to obtain or enforce any right or benefit under their CIC Severance Agreement.</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 the event employment is terminated due to retirement, disability or death prior to the end of the performance period for the performance awards, our Named Executive Officer, or their estate, will be entitled to retain and receive a pro-rata portion of the performance awards at the end of the performance period, to the extent earned.</w:t>
      </w:r>
    </w:p>
    <w:p>
      <w:pPr>
        <w:spacing w:after="0" w:line="31"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This amount represents the payout of performance cash, and performance share units at the target level and multiplied by $39.82, the closing price of our common stock on the Nasdaq Global Select Market on February 27, 2026, the last trading day of fiscal 2026, assuming the performance period ended on the date of the Change-in-Control of Apogee, as adjusted for the truncated performance period.</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Silberhorn Separation Agreement</w:t>
      </w:r>
    </w:p>
    <w:p>
      <w:pPr>
        <w:spacing w:after="0" w:line="148"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2"/>
          <w:szCs w:val="12"/>
          <w:color w:val="auto"/>
        </w:rPr>
        <w:t>In connection with his separation effective on October 31, 2025 (the “Separation Date”), Mr. Silberhorn and the Company entered into a Separation Agreement dated October 30, 2025 (the “Separation Agreement”).</w:t>
      </w:r>
    </w:p>
    <w:p>
      <w:pPr>
        <w:spacing w:after="0" w:line="103"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Upon Mr. Silberhorn’s separation as Chief Executive Officer of the Company, Mr. Silberhorn became entitled to $932,000 in cash, which is equal to his annual base salary for fiscal 2026. This payment will be made in twenty-four relatively equal payments on the Company’s regular payroll dates. As a material inducement for Apogee to enter into this Separation Agreement, Mr. Silberhorn must comply with certain non-recruitment covenants contained in the Separation Agreement.</w:t>
      </w:r>
    </w:p>
    <w:p>
      <w:pPr>
        <w:spacing w:after="0" w:line="114"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Effective as of the Separation Date and pursuant to the terms of the relevant plans and award agreements, the Board accelerated the vesting of a total of 78,376 restricted shares, 16,867 performance share units, $742,500</w:t>
      </w:r>
    </w:p>
    <w:p>
      <w:pPr>
        <w:spacing w:after="0" w:line="200" w:lineRule="exact"/>
        <w:rPr>
          <w:sz w:val="20"/>
          <w:szCs w:val="20"/>
          <w:color w:val="auto"/>
        </w:rPr>
      </w:pPr>
    </w:p>
    <w:p>
      <w:pPr>
        <w:spacing w:after="0" w:line="3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50" w:right="29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auto"/>
        </w:rPr>
        <w:t>performance cash, and $250,057 accrued dividends. The value of the accelerated restricted shares and performance share units was $3,486,846 based on the closing price of $36.61 on October 31, 2025.</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Company will pay $19,560, which represents the cost of Mr. Silberhorn's group medical, dental, and vision insurance, for twelve months after the Separation Date, provided that Mr. Silberhorn completes and returns the necessary paperwork to continue that coverage.</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 xml:space="preserve">All cash paid or accrued in connection with Mr. Silberhorn's separation has been included in 2026 "All Other Compensation"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The value of the accelerated restricted shares and performance share units is not included.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Osberg Resignation</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Mr. Osberg did not receive any payments upon his resignation beyond compensation and benefits earned during his employment with the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CEO Pay Ratio Disclosure</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As required by Section 953(b) of the Dodd-Frank Wall Street Reform and Consumer Protection Act, and Item 402(u) of Regulation S-K, we are providing the following information about the relationship of the annual total compensation of our employees and the annualized total compensation of Mr. Nolan, our Chief Executive Officer and Executive Director who was serving as of December 31, 2025 (the determination date for our median employees):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For the fiscal year ended February 28, 2026, our last completed fiscal year:</w:t>
      </w:r>
    </w:p>
    <w:p>
      <w:pPr>
        <w:spacing w:after="0" w:line="150" w:lineRule="exact"/>
        <w:rPr>
          <w:sz w:val="20"/>
          <w:szCs w:val="20"/>
          <w:color w:val="auto"/>
        </w:rPr>
      </w:pPr>
    </w:p>
    <w:p>
      <w:pPr>
        <w:ind w:left="420" w:hanging="212"/>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median of the annual total compensation of all employees of our Company (other than our Chief Executive Officer) was $67,025;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the annualized total compensation of our Chief Executive Officer, as reported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xml:space="preserve"> of this Proxy Statement, was $6,509,647.</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reasonably estimate that the ratio of our Chief Executive Officer’s annual total compensation to the annual total compensation of our median employee was 97 times. Our pay ratio estimate has been calculated in a manner consistent with Item 402(u) of Regulation S-K. To identify the median of the annual total compensation of all our employees, as well as to determine the annual total compensation of our median employee, the methodology and the material assumptions, adjustments, and estimates that we used were as follows: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determined that, as of December 31, 2025, our employee population consisted of 4,124 individuals (including full-time and part-time employees, other than our Chief Executive Officer, who were employed on December 31, 2025) working at the Company together with our consolidated subsidiaries. Of these individuals, 3,853 were located in the U.S. and U.S. territories, and 271 were from our subsidiaries in Canada and Brazil. We chose to exclude all 193 of our employees from our Brazil subsidiary, which consists of 4.7% of our workforce, from the identification of “median employee,” as permitted by SEC rules.</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Our employee population, after taking into consideration the permitted adjustments described above, consisted of 3,931 members. Our adjusted employee population consisted of 3,853 employees in the U.S. and 78 employees located in Canada.</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identified our median employee based on the total cash and stock-based compensation earned during the twelve-month period ended December 31, 2025. In making this determination, we annualized the compensation of all full- and part-time permanent employees included in the sample who were hired in calendar year 2025, but did not work for us or our included subsidiaries for the entire twelve-month period described below. For purposes of determining the total cash and stock-based compensation earned, we included: the amount of base salary (or, in the case of hourly workers, base wages including overtime pay) the employee received during the twelve months ended December 31, 2025, the amount of any cash incentives paid or deferred in such period (which include sales commissions as well as cash incentives that are generally paid for performance during the prior quarter or year), and the amount of any income from stock-based compensation, as reflected in our payroll records. For purposes of identifying the median employee, we applied the average exchange rate for calendar year 2025, which was U.S. dollars to Canadian dollars – 1.3973 CAD.</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Once we identified our median employee, we then determined that employee’s annual total compensation, including any perquisites and other benefits, in the same manner that we determine the annual total compensation of our Named Executive Officers for purposes of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xml:space="preserve"> disclosed above. The annual total compensation for our median employee for fiscal 2026 was determined to be $67,025. This amount was then compared to the annualized total compensation of our Chief Executive Officer disclosed above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xml:space="preserve">, of $6,509,647. The elements included in the Chief Executive Officer’s total compensation are discussed above in the footnotes to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72" w:name="page73"/>
    <w:bookmarkEnd w:id="72"/>
    <w:p>
      <w:pPr>
        <w:jc w:val="center"/>
        <w:ind w:right="-7"/>
        <w:spacing w:after="0"/>
        <w:rPr>
          <w:sz w:val="20"/>
          <w:szCs w:val="20"/>
          <w:color w:val="auto"/>
        </w:rPr>
      </w:pPr>
      <w:r>
        <w:rPr>
          <w:rFonts w:ascii="Arial" w:cs="Arial" w:eastAsia="Arial" w:hAnsi="Arial"/>
          <w:sz w:val="17"/>
          <w:szCs w:val="17"/>
          <w:b w:val="1"/>
          <w:bCs w:val="1"/>
          <w:color w:val="auto"/>
        </w:rPr>
        <w:t>Pay Versus Performance</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Pay Versus Performance Table</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required by the Dodd-Frank Act and SEC regulation, the following table presents, for each of the five most recent fiscal years:</w:t>
      </w:r>
    </w:p>
    <w:p>
      <w:pPr>
        <w:spacing w:after="0" w:line="78" w:lineRule="exact"/>
        <w:rPr>
          <w:sz w:val="20"/>
          <w:szCs w:val="20"/>
          <w:color w:val="auto"/>
        </w:rPr>
      </w:pPr>
    </w:p>
    <w:p>
      <w:pPr>
        <w:ind w:left="428" w:hanging="212"/>
        <w:spacing w:after="0" w:line="286" w:lineRule="auto"/>
        <w:tabs>
          <w:tab w:leader="none" w:pos="425" w:val="left"/>
        </w:tabs>
        <w:numPr>
          <w:ilvl w:val="0"/>
          <w:numId w:val="63"/>
        </w:numPr>
        <w:rPr>
          <w:rFonts w:ascii="Arial" w:cs="Arial" w:eastAsia="Arial" w:hAnsi="Arial"/>
          <w:sz w:val="12"/>
          <w:szCs w:val="12"/>
          <w:color w:val="auto"/>
        </w:rPr>
      </w:pPr>
      <w:r>
        <w:rPr>
          <w:rFonts w:ascii="Arial" w:cs="Arial" w:eastAsia="Arial" w:hAnsi="Arial"/>
          <w:sz w:val="12"/>
          <w:szCs w:val="12"/>
          <w:color w:val="auto"/>
        </w:rPr>
        <w:t xml:space="preserve">total compensation, as calculated in the "Summary Compensation Table" beginning on page </w:t>
      </w:r>
      <w:r>
        <w:rPr>
          <w:rFonts w:ascii="Arial" w:cs="Arial" w:eastAsia="Arial" w:hAnsi="Arial"/>
          <w:sz w:val="12"/>
          <w:szCs w:val="12"/>
          <w:u w:val="single" w:color="auto"/>
          <w:color w:val="0000FF"/>
        </w:rPr>
        <w:t>53</w:t>
      </w:r>
      <w:r>
        <w:rPr>
          <w:rFonts w:ascii="Arial" w:cs="Arial" w:eastAsia="Arial" w:hAnsi="Arial"/>
          <w:sz w:val="12"/>
          <w:szCs w:val="12"/>
          <w:color w:val="auto"/>
        </w:rPr>
        <w:t>, for our current and former President and CEO (the “PEOs”) and an average for our Other Named Executive Officers (“Non-PEO NEOs”);</w:t>
      </w:r>
    </w:p>
    <w:p>
      <w:pPr>
        <w:spacing w:after="0" w:line="31" w:lineRule="exact"/>
        <w:rPr>
          <w:rFonts w:ascii="Arial" w:cs="Arial" w:eastAsia="Arial" w:hAnsi="Arial"/>
          <w:sz w:val="12"/>
          <w:szCs w:val="12"/>
          <w:color w:val="auto"/>
        </w:rPr>
      </w:pPr>
    </w:p>
    <w:p>
      <w:pPr>
        <w:ind w:left="428" w:hanging="212"/>
        <w:spacing w:after="0" w:line="286" w:lineRule="auto"/>
        <w:tabs>
          <w:tab w:leader="none" w:pos="425" w:val="left"/>
        </w:tabs>
        <w:numPr>
          <w:ilvl w:val="0"/>
          <w:numId w:val="63"/>
        </w:numPr>
        <w:rPr>
          <w:rFonts w:ascii="Arial" w:cs="Arial" w:eastAsia="Arial" w:hAnsi="Arial"/>
          <w:sz w:val="12"/>
          <w:szCs w:val="12"/>
          <w:color w:val="auto"/>
        </w:rPr>
      </w:pPr>
      <w:r>
        <w:rPr>
          <w:rFonts w:ascii="Arial" w:cs="Arial" w:eastAsia="Arial" w:hAnsi="Arial"/>
          <w:sz w:val="12"/>
          <w:szCs w:val="12"/>
          <w:color w:val="auto"/>
        </w:rPr>
        <w:t>compensation actually paid (“CAP”) to our current and former PEOs and an average for our Non-PEO NEOs, an SEC prescribed calculation which adjusts total compensation for the items described below and which does not equate to realized compensation;</w:t>
      </w:r>
    </w:p>
    <w:p>
      <w:pPr>
        <w:spacing w:after="0" w:line="31" w:lineRule="exact"/>
        <w:rPr>
          <w:rFonts w:ascii="Arial" w:cs="Arial" w:eastAsia="Arial" w:hAnsi="Arial"/>
          <w:sz w:val="12"/>
          <w:szCs w:val="12"/>
          <w:color w:val="auto"/>
        </w:rPr>
      </w:pPr>
    </w:p>
    <w:p>
      <w:pPr>
        <w:ind w:left="428" w:hanging="212"/>
        <w:spacing w:after="0"/>
        <w:tabs>
          <w:tab w:leader="none" w:pos="428" w:val="left"/>
        </w:tabs>
        <w:numPr>
          <w:ilvl w:val="0"/>
          <w:numId w:val="63"/>
        </w:numPr>
        <w:rPr>
          <w:rFonts w:ascii="Arial" w:cs="Arial" w:eastAsia="Arial" w:hAnsi="Arial"/>
          <w:sz w:val="12"/>
          <w:szCs w:val="12"/>
          <w:color w:val="auto"/>
        </w:rPr>
      </w:pPr>
      <w:r>
        <w:rPr>
          <w:rFonts w:ascii="Arial" w:cs="Arial" w:eastAsia="Arial" w:hAnsi="Arial"/>
          <w:sz w:val="12"/>
          <w:szCs w:val="12"/>
          <w:color w:val="auto"/>
        </w:rPr>
        <w:t>our cumulative total shareholder return (“TSR”) since the last trading day before the earliest year presented;</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63"/>
        </w:numPr>
        <w:rPr>
          <w:rFonts w:ascii="Arial" w:cs="Arial" w:eastAsia="Arial" w:hAnsi="Arial"/>
          <w:sz w:val="12"/>
          <w:szCs w:val="12"/>
          <w:color w:val="auto"/>
        </w:rPr>
      </w:pPr>
      <w:r>
        <w:rPr>
          <w:rFonts w:ascii="Arial" w:cs="Arial" w:eastAsia="Arial" w:hAnsi="Arial"/>
          <w:sz w:val="12"/>
          <w:szCs w:val="12"/>
          <w:color w:val="auto"/>
        </w:rPr>
        <w:t>our net income; and</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63"/>
        </w:numPr>
        <w:rPr>
          <w:rFonts w:ascii="Arial" w:cs="Arial" w:eastAsia="Arial" w:hAnsi="Arial"/>
          <w:sz w:val="12"/>
          <w:szCs w:val="12"/>
          <w:color w:val="auto"/>
        </w:rPr>
      </w:pPr>
      <w:r>
        <w:rPr>
          <w:rFonts w:ascii="Arial" w:cs="Arial" w:eastAsia="Arial" w:hAnsi="Arial"/>
          <w:sz w:val="12"/>
          <w:szCs w:val="12"/>
          <w:color w:val="auto"/>
        </w:rPr>
        <w:t>our adjusted earnings before interest, taxes, depreciation and amortization (“Adjusted EBITDA”).</w:t>
      </w:r>
    </w:p>
    <w:p>
      <w:pPr>
        <w:spacing w:after="0" w:line="150"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color w:val="auto"/>
        </w:rPr>
        <w:t>For a description of our executive compensation program and the factors used by the Compensation Committee to determine pay for our NEOs, see the “Compensation Discussion and Analysis”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 w:type="dxa"/>
        <w:tblCellMar>
          <w:top w:w="0" w:type="dxa"/>
          <w:left w:w="0" w:type="dxa"/>
          <w:bottom w:w="0" w:type="dxa"/>
          <w:right w:w="0" w:type="dxa"/>
        </w:tblCellMar>
      </w:tblPr>
      <w:tr>
        <w:trPr>
          <w:trHeight w:val="88"/>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vMerge w:val="restart"/>
          </w:tcPr>
          <w:p>
            <w:pPr>
              <w:ind w:left="740"/>
              <w:spacing w:after="0"/>
              <w:rPr>
                <w:sz w:val="20"/>
                <w:szCs w:val="20"/>
                <w:color w:val="auto"/>
              </w:rPr>
            </w:pPr>
            <w:r>
              <w:rPr>
                <w:rFonts w:ascii="Arial" w:cs="Arial" w:eastAsia="Arial" w:hAnsi="Arial"/>
                <w:sz w:val="7"/>
                <w:szCs w:val="7"/>
                <w:b w:val="1"/>
                <w:bCs w:val="1"/>
                <w:color w:val="05445E"/>
              </w:rPr>
              <w:t>Donald A. Nolan</w:t>
            </w:r>
            <w:r>
              <w:rPr>
                <w:rFonts w:ascii="Arial" w:cs="Arial" w:eastAsia="Arial" w:hAnsi="Arial"/>
                <w:sz w:val="4"/>
                <w:szCs w:val="4"/>
                <w:b w:val="1"/>
                <w:bCs w:val="1"/>
                <w:color w:val="05445E"/>
              </w:rPr>
              <w:t>(1)</w:t>
            </w: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3"/>
            <w:vMerge w:val="restart"/>
          </w:tcPr>
          <w:p>
            <w:pPr>
              <w:jc w:val="right"/>
              <w:ind w:right="725"/>
              <w:spacing w:after="0"/>
              <w:rPr>
                <w:sz w:val="20"/>
                <w:szCs w:val="20"/>
                <w:color w:val="auto"/>
              </w:rPr>
            </w:pPr>
            <w:r>
              <w:rPr>
                <w:rFonts w:ascii="Arial" w:cs="Arial" w:eastAsia="Arial" w:hAnsi="Arial"/>
                <w:sz w:val="7"/>
                <w:szCs w:val="7"/>
                <w:b w:val="1"/>
                <w:bCs w:val="1"/>
                <w:color w:val="05445E"/>
              </w:rPr>
              <w:t>Ty R. Silberhorn</w:t>
            </w:r>
            <w:r>
              <w:rPr>
                <w:rFonts w:ascii="Arial" w:cs="Arial" w:eastAsia="Arial" w:hAnsi="Arial"/>
                <w:sz w:val="4"/>
                <w:szCs w:val="4"/>
                <w:b w:val="1"/>
                <w:bCs w:val="1"/>
                <w:color w:val="05445E"/>
              </w:rPr>
              <w:t>(2)</w:t>
            </w: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gridSpan w:val="3"/>
            <w:vMerge w:val="restart"/>
          </w:tcPr>
          <w:p>
            <w:pPr>
              <w:jc w:val="right"/>
              <w:ind w:right="124"/>
              <w:spacing w:after="0"/>
              <w:rPr>
                <w:sz w:val="20"/>
                <w:szCs w:val="20"/>
                <w:color w:val="auto"/>
              </w:rPr>
            </w:pPr>
            <w:r>
              <w:rPr>
                <w:rFonts w:ascii="Arial" w:cs="Arial" w:eastAsia="Arial" w:hAnsi="Arial"/>
                <w:sz w:val="7"/>
                <w:szCs w:val="7"/>
                <w:b w:val="1"/>
                <w:bCs w:val="1"/>
                <w:color w:val="05445E"/>
              </w:rPr>
              <w:t>Value of Initial Fixed $100 Investment Based on</w:t>
            </w:r>
          </w:p>
        </w:tc>
        <w:tc>
          <w:tcPr>
            <w:tcW w:w="80" w:type="dxa"/>
            <w:vAlign w:val="bottom"/>
            <w:vMerge w:val="restart"/>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7"/>
                <w:szCs w:val="7"/>
                <w:b w:val="1"/>
                <w:bCs w:val="1"/>
                <w:color w:val="05445E"/>
              </w:rPr>
              <w:t>Net Income</w:t>
            </w:r>
            <w:r>
              <w:rPr>
                <w:rFonts w:ascii="Arial" w:cs="Arial" w:eastAsia="Arial" w:hAnsi="Arial"/>
                <w:sz w:val="4"/>
                <w:szCs w:val="4"/>
                <w:b w:val="1"/>
                <w:bCs w:val="1"/>
                <w:color w:val="05445E"/>
              </w:rPr>
              <w:t>(7)</w:t>
            </w:r>
          </w:p>
        </w:tc>
        <w:tc>
          <w:tcPr>
            <w:tcW w:w="80" w:type="dxa"/>
            <w:vAlign w:val="bottom"/>
            <w:vMerge w:val="restart"/>
          </w:tcPr>
          <w:p>
            <w:pPr>
              <w:spacing w:after="0"/>
              <w:rPr>
                <w:sz w:val="7"/>
                <w:szCs w:val="7"/>
                <w:color w:val="auto"/>
              </w:rPr>
            </w:pPr>
          </w:p>
        </w:tc>
        <w:tc>
          <w:tcPr>
            <w:tcW w:w="960" w:type="dxa"/>
            <w:vAlign w:val="bottom"/>
          </w:tcPr>
          <w:p>
            <w:pPr>
              <w:jc w:val="center"/>
              <w:spacing w:after="0"/>
              <w:rPr>
                <w:sz w:val="20"/>
                <w:szCs w:val="20"/>
                <w:color w:val="auto"/>
              </w:rPr>
            </w:pPr>
            <w:r>
              <w:rPr>
                <w:rFonts w:ascii="Arial" w:cs="Arial" w:eastAsia="Arial" w:hAnsi="Arial"/>
                <w:sz w:val="7"/>
                <w:szCs w:val="7"/>
                <w:b w:val="1"/>
                <w:bCs w:val="1"/>
                <w:color w:val="05445E"/>
              </w:rPr>
              <w:t>Consolid-ated Adjusted</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bottom w:val="single" w:sz="8" w:color="05445E"/>
            </w:tcBorders>
            <w:gridSpan w:val="3"/>
            <w:vMerge w:val="continue"/>
          </w:tcPr>
          <w:p>
            <w:pPr>
              <w:spacing w:after="0"/>
              <w:rPr>
                <w:sz w:val="9"/>
                <w:szCs w:val="9"/>
                <w:color w:val="auto"/>
              </w:rPr>
            </w:pPr>
          </w:p>
        </w:tc>
        <w:tc>
          <w:tcPr>
            <w:tcW w:w="740" w:type="dxa"/>
            <w:vAlign w:val="bottom"/>
            <w:tcBorders>
              <w:bottom w:val="single" w:sz="8" w:color="05445E"/>
            </w:tcBorders>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tcBorders>
              <w:bottom w:val="single" w:sz="8" w:color="05445E"/>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Borders>
              <w:bottom w:val="single" w:sz="8" w:color="05445E"/>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tcBorders>
              <w:bottom w:val="single" w:sz="8" w:color="05445E"/>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60" w:type="dxa"/>
            <w:vAlign w:val="bottom"/>
            <w:tcBorders>
              <w:bottom w:val="single" w:sz="8" w:color="05445E"/>
            </w:tcBorders>
          </w:tcPr>
          <w:p>
            <w:pPr>
              <w:jc w:val="center"/>
              <w:spacing w:after="0"/>
              <w:rPr>
                <w:sz w:val="20"/>
                <w:szCs w:val="20"/>
                <w:color w:val="auto"/>
              </w:rPr>
            </w:pPr>
            <w:r>
              <w:rPr>
                <w:rFonts w:ascii="Arial" w:cs="Arial" w:eastAsia="Arial" w:hAnsi="Arial"/>
                <w:sz w:val="7"/>
                <w:szCs w:val="7"/>
                <w:b w:val="1"/>
                <w:bCs w:val="1"/>
                <w:color w:val="05445E"/>
                <w:w w:val="95"/>
              </w:rPr>
              <w:t>EBITDA</w:t>
            </w:r>
            <w:r>
              <w:rPr>
                <w:rFonts w:ascii="Arial" w:cs="Arial" w:eastAsia="Arial" w:hAnsi="Arial"/>
                <w:sz w:val="9"/>
                <w:szCs w:val="9"/>
                <w:b w:val="1"/>
                <w:bCs w:val="1"/>
                <w:color w:val="05445E"/>
                <w:w w:val="95"/>
                <w:vertAlign w:val="superscript"/>
              </w:rPr>
              <w:t>(8)</w:t>
            </w:r>
          </w:p>
        </w:tc>
        <w:tc>
          <w:tcPr>
            <w:tcW w:w="0" w:type="dxa"/>
            <w:vAlign w:val="bottom"/>
          </w:tcPr>
          <w:p>
            <w:pPr>
              <w:spacing w:after="0"/>
              <w:rPr>
                <w:sz w:val="1"/>
                <w:szCs w:val="1"/>
                <w:color w:val="auto"/>
              </w:rPr>
            </w:pPr>
          </w:p>
        </w:tc>
      </w:tr>
      <w:tr>
        <w:trPr>
          <w:trHeight w:val="287"/>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7"/>
                <w:szCs w:val="7"/>
                <w:b w:val="1"/>
                <w:bCs w:val="1"/>
                <w:color w:val="05445E"/>
              </w:rPr>
              <w:t>Compen-</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7"/>
                <w:szCs w:val="7"/>
                <w:b w:val="1"/>
                <w:bCs w:val="1"/>
                <w:color w:val="05445E"/>
              </w:rPr>
              <w:t>Average Summary Compen-</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vMerge w:val="restart"/>
          </w:tcPr>
          <w:p>
            <w:pPr>
              <w:jc w:val="center"/>
              <w:ind w:right="460"/>
              <w:spacing w:after="0"/>
              <w:rPr>
                <w:sz w:val="20"/>
                <w:szCs w:val="20"/>
                <w:color w:val="auto"/>
              </w:rPr>
            </w:pPr>
            <w:r>
              <w:rPr>
                <w:rFonts w:ascii="Arial" w:cs="Arial" w:eastAsia="Arial" w:hAnsi="Arial"/>
                <w:sz w:val="7"/>
                <w:szCs w:val="7"/>
                <w:b w:val="1"/>
                <w:bCs w:val="1"/>
                <w:color w:val="05445E"/>
              </w:rPr>
              <w:t>Summary Compen-</w:t>
            </w:r>
          </w:p>
        </w:tc>
        <w:tc>
          <w:tcPr>
            <w:tcW w:w="820" w:type="dxa"/>
            <w:vAlign w:val="bottom"/>
            <w:gridSpan w:val="2"/>
          </w:tcPr>
          <w:p>
            <w:pPr>
              <w:jc w:val="center"/>
              <w:ind w:right="460"/>
              <w:spacing w:after="0"/>
              <w:rPr>
                <w:sz w:val="20"/>
                <w:szCs w:val="20"/>
                <w:color w:val="auto"/>
              </w:rPr>
            </w:pPr>
            <w:r>
              <w:rPr>
                <w:rFonts w:ascii="Arial" w:cs="Arial" w:eastAsia="Arial" w:hAnsi="Arial"/>
                <w:sz w:val="7"/>
                <w:szCs w:val="7"/>
                <w:b w:val="1"/>
                <w:bCs w:val="1"/>
                <w:color w:val="05445E"/>
                <w:w w:val="96"/>
              </w:rPr>
              <w:t>sation</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Summary Compen-sation</w:t>
            </w:r>
          </w:p>
        </w:tc>
        <w:tc>
          <w:tcPr>
            <w:tcW w:w="1020" w:type="dxa"/>
            <w:vAlign w:val="bottom"/>
            <w:vMerge w:val="restart"/>
          </w:tcPr>
          <w:p>
            <w:pPr>
              <w:jc w:val="center"/>
              <w:spacing w:after="0"/>
              <w:rPr>
                <w:sz w:val="20"/>
                <w:szCs w:val="20"/>
                <w:color w:val="auto"/>
              </w:rPr>
            </w:pPr>
            <w:r>
              <w:rPr>
                <w:rFonts w:ascii="Arial" w:cs="Arial" w:eastAsia="Arial" w:hAnsi="Arial"/>
                <w:sz w:val="7"/>
                <w:szCs w:val="7"/>
                <w:b w:val="1"/>
                <w:bCs w:val="1"/>
                <w:color w:val="05445E"/>
              </w:rPr>
              <w:t>Compen-sation Actually</w:t>
            </w:r>
          </w:p>
        </w:tc>
        <w:tc>
          <w:tcPr>
            <w:tcW w:w="100" w:type="dxa"/>
            <w:vAlign w:val="bottom"/>
          </w:tcPr>
          <w:p>
            <w:pPr>
              <w:spacing w:after="0"/>
              <w:rPr>
                <w:sz w:val="7"/>
                <w:szCs w:val="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sation</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Average Compen-sation</w:t>
            </w: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7"/>
                <w:szCs w:val="7"/>
                <w:b w:val="1"/>
                <w:bCs w:val="1"/>
                <w:color w:val="05445E"/>
              </w:rPr>
              <w:t>Actually</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8"/>
              </w:rPr>
              <w:t>Table</w:t>
            </w: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8"/>
              </w:rPr>
              <w:t>Table</w:t>
            </w:r>
          </w:p>
        </w:tc>
        <w:tc>
          <w:tcPr>
            <w:tcW w:w="1100" w:type="dxa"/>
            <w:vAlign w:val="bottom"/>
            <w:gridSpan w:val="2"/>
          </w:tcPr>
          <w:p>
            <w:pPr>
              <w:jc w:val="center"/>
              <w:ind w:right="100"/>
              <w:spacing w:after="0"/>
              <w:rPr>
                <w:sz w:val="20"/>
                <w:szCs w:val="20"/>
                <w:color w:val="auto"/>
              </w:rPr>
            </w:pPr>
            <w:r>
              <w:rPr>
                <w:rFonts w:ascii="Arial" w:cs="Arial" w:eastAsia="Arial" w:hAnsi="Arial"/>
                <w:sz w:val="7"/>
                <w:szCs w:val="7"/>
                <w:b w:val="1"/>
                <w:bCs w:val="1"/>
                <w:color w:val="05445E"/>
              </w:rPr>
              <w:t>Actually</w:t>
            </w: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7"/>
                <w:szCs w:val="7"/>
                <w:b w:val="1"/>
                <w:bCs w:val="1"/>
                <w:color w:val="05445E"/>
              </w:rPr>
              <w:t>sation</w:t>
            </w:r>
          </w:p>
        </w:tc>
        <w:tc>
          <w:tcPr>
            <w:tcW w:w="820" w:type="dxa"/>
            <w:vAlign w:val="bottom"/>
            <w:gridSpan w:val="2"/>
          </w:tcPr>
          <w:p>
            <w:pPr>
              <w:jc w:val="center"/>
              <w:ind w:right="460"/>
              <w:spacing w:after="0"/>
              <w:rPr>
                <w:sz w:val="20"/>
                <w:szCs w:val="20"/>
                <w:color w:val="auto"/>
              </w:rPr>
            </w:pPr>
            <w:r>
              <w:rPr>
                <w:rFonts w:ascii="Arial" w:cs="Arial" w:eastAsia="Arial" w:hAnsi="Arial"/>
                <w:sz w:val="7"/>
                <w:szCs w:val="7"/>
                <w:b w:val="1"/>
                <w:bCs w:val="1"/>
                <w:color w:val="05445E"/>
              </w:rPr>
              <w:t>Paid</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Total</w:t>
            </w:r>
          </w:p>
        </w:tc>
        <w:tc>
          <w:tcPr>
            <w:tcW w:w="1020" w:type="dxa"/>
            <w:vAlign w:val="bottom"/>
          </w:tcPr>
          <w:p>
            <w:pPr>
              <w:jc w:val="center"/>
              <w:spacing w:after="0"/>
              <w:rPr>
                <w:sz w:val="20"/>
                <w:szCs w:val="20"/>
                <w:color w:val="auto"/>
              </w:rPr>
            </w:pPr>
            <w:r>
              <w:rPr>
                <w:rFonts w:ascii="Arial" w:cs="Arial" w:eastAsia="Arial" w:hAnsi="Arial"/>
                <w:sz w:val="7"/>
                <w:szCs w:val="7"/>
                <w:b w:val="1"/>
                <w:bCs w:val="1"/>
                <w:color w:val="05445E"/>
                <w:w w:val="94"/>
              </w:rPr>
              <w:t>Paid</w:t>
            </w:r>
          </w:p>
        </w:tc>
        <w:tc>
          <w:tcPr>
            <w:tcW w:w="100" w:type="dxa"/>
            <w:vAlign w:val="bottom"/>
          </w:tcPr>
          <w:p>
            <w:pPr>
              <w:spacing w:after="0"/>
              <w:rPr>
                <w:sz w:val="7"/>
                <w:szCs w:val="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Total</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4"/>
              </w:rPr>
              <w:t>Paid</w:t>
            </w: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9"/>
              </w:rPr>
              <w:t>Peer Group</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7"/>
                <w:szCs w:val="7"/>
                <w:b w:val="1"/>
                <w:bCs w:val="1"/>
                <w:color w:val="05445E"/>
              </w:rPr>
              <w:t>Table Total</w:t>
            </w:r>
          </w:p>
        </w:tc>
        <w:tc>
          <w:tcPr>
            <w:tcW w:w="820" w:type="dxa"/>
            <w:vAlign w:val="bottom"/>
            <w:gridSpan w:val="2"/>
          </w:tcPr>
          <w:p>
            <w:pPr>
              <w:jc w:val="center"/>
              <w:ind w:right="460"/>
              <w:spacing w:after="0"/>
              <w:rPr>
                <w:sz w:val="20"/>
                <w:szCs w:val="20"/>
                <w:color w:val="auto"/>
              </w:rPr>
            </w:pPr>
            <w:r>
              <w:rPr>
                <w:rFonts w:ascii="Arial" w:cs="Arial" w:eastAsia="Arial" w:hAnsi="Arial"/>
                <w:sz w:val="7"/>
                <w:szCs w:val="7"/>
                <w:b w:val="1"/>
                <w:bCs w:val="1"/>
                <w:color w:val="05445E"/>
              </w:rPr>
              <w:t>to</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for</w:t>
            </w:r>
          </w:p>
        </w:tc>
        <w:tc>
          <w:tcPr>
            <w:tcW w:w="1020" w:type="dxa"/>
            <w:vAlign w:val="bottom"/>
          </w:tcPr>
          <w:p>
            <w:pPr>
              <w:jc w:val="center"/>
              <w:spacing w:after="0"/>
              <w:rPr>
                <w:sz w:val="20"/>
                <w:szCs w:val="20"/>
                <w:color w:val="auto"/>
              </w:rPr>
            </w:pPr>
            <w:r>
              <w:rPr>
                <w:rFonts w:ascii="Arial" w:cs="Arial" w:eastAsia="Arial" w:hAnsi="Arial"/>
                <w:sz w:val="7"/>
                <w:szCs w:val="7"/>
                <w:b w:val="1"/>
                <w:bCs w:val="1"/>
                <w:color w:val="05445E"/>
                <w:w w:val="90"/>
              </w:rPr>
              <w:t>to</w:t>
            </w:r>
          </w:p>
        </w:tc>
        <w:tc>
          <w:tcPr>
            <w:tcW w:w="100" w:type="dxa"/>
            <w:vAlign w:val="bottom"/>
          </w:tcPr>
          <w:p>
            <w:pPr>
              <w:spacing w:after="0"/>
              <w:rPr>
                <w:sz w:val="7"/>
                <w:szCs w:val="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for</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0"/>
              </w:rPr>
              <w:t>to</w:t>
            </w:r>
          </w:p>
        </w:tc>
        <w:tc>
          <w:tcPr>
            <w:tcW w:w="10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5"/>
              </w:rPr>
              <w:t>Total</w:t>
            </w:r>
          </w:p>
        </w:tc>
        <w:tc>
          <w:tcPr>
            <w:tcW w:w="102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Total</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7"/>
                <w:szCs w:val="7"/>
                <w:b w:val="1"/>
                <w:bCs w:val="1"/>
                <w:color w:val="05445E"/>
              </w:rPr>
              <w:t>for Current</w:t>
            </w:r>
          </w:p>
        </w:tc>
        <w:tc>
          <w:tcPr>
            <w:tcW w:w="820" w:type="dxa"/>
            <w:vAlign w:val="bottom"/>
            <w:gridSpan w:val="2"/>
          </w:tcPr>
          <w:p>
            <w:pPr>
              <w:jc w:val="center"/>
              <w:ind w:right="480"/>
              <w:spacing w:after="0"/>
              <w:rPr>
                <w:sz w:val="20"/>
                <w:szCs w:val="20"/>
                <w:color w:val="auto"/>
              </w:rPr>
            </w:pPr>
            <w:r>
              <w:rPr>
                <w:rFonts w:ascii="Arial" w:cs="Arial" w:eastAsia="Arial" w:hAnsi="Arial"/>
                <w:sz w:val="7"/>
                <w:szCs w:val="7"/>
                <w:b w:val="1"/>
                <w:bCs w:val="1"/>
                <w:color w:val="05445E"/>
              </w:rPr>
              <w:t>Current</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Former</w:t>
            </w:r>
          </w:p>
        </w:tc>
        <w:tc>
          <w:tcPr>
            <w:tcW w:w="1020" w:type="dxa"/>
            <w:vAlign w:val="bottom"/>
          </w:tcPr>
          <w:p>
            <w:pPr>
              <w:jc w:val="center"/>
              <w:spacing w:after="0"/>
              <w:rPr>
                <w:sz w:val="20"/>
                <w:szCs w:val="20"/>
                <w:color w:val="auto"/>
              </w:rPr>
            </w:pPr>
            <w:r>
              <w:rPr>
                <w:rFonts w:ascii="Arial" w:cs="Arial" w:eastAsia="Arial" w:hAnsi="Arial"/>
                <w:sz w:val="7"/>
                <w:szCs w:val="7"/>
                <w:b w:val="1"/>
                <w:bCs w:val="1"/>
                <w:color w:val="05445E"/>
              </w:rPr>
              <w:t>Former</w:t>
            </w:r>
          </w:p>
        </w:tc>
        <w:tc>
          <w:tcPr>
            <w:tcW w:w="100" w:type="dxa"/>
            <w:vAlign w:val="bottom"/>
          </w:tcPr>
          <w:p>
            <w:pPr>
              <w:spacing w:after="0"/>
              <w:rPr>
                <w:sz w:val="7"/>
                <w:szCs w:val="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7"/>
              </w:rPr>
              <w:t>Non-PEO</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7"/>
              </w:rPr>
              <w:t>Non-PEO</w:t>
            </w:r>
          </w:p>
        </w:tc>
        <w:tc>
          <w:tcPr>
            <w:tcW w:w="1000" w:type="dxa"/>
            <w:vAlign w:val="bottom"/>
            <w:gridSpan w:val="2"/>
          </w:tcPr>
          <w:p>
            <w:pPr>
              <w:jc w:val="center"/>
              <w:ind w:right="60"/>
              <w:spacing w:after="0"/>
              <w:rPr>
                <w:sz w:val="20"/>
                <w:szCs w:val="20"/>
                <w:color w:val="auto"/>
              </w:rPr>
            </w:pPr>
            <w:r>
              <w:rPr>
                <w:rFonts w:ascii="Arial" w:cs="Arial" w:eastAsia="Arial" w:hAnsi="Arial"/>
                <w:sz w:val="7"/>
                <w:szCs w:val="7"/>
                <w:b w:val="1"/>
                <w:bCs w:val="1"/>
                <w:color w:val="05445E"/>
              </w:rPr>
              <w:t>Shareholder</w:t>
            </w:r>
          </w:p>
        </w:tc>
        <w:tc>
          <w:tcPr>
            <w:tcW w:w="102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Shareholder</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7"/>
                <w:szCs w:val="7"/>
                <w:b w:val="1"/>
                <w:bCs w:val="1"/>
                <w:color w:val="05445E"/>
                <w:w w:val="94"/>
              </w:rPr>
              <w:t>PEO</w:t>
            </w:r>
          </w:p>
        </w:tc>
        <w:tc>
          <w:tcPr>
            <w:tcW w:w="820" w:type="dxa"/>
            <w:vAlign w:val="bottom"/>
            <w:gridSpan w:val="2"/>
          </w:tcPr>
          <w:p>
            <w:pPr>
              <w:jc w:val="center"/>
              <w:ind w:right="460"/>
              <w:spacing w:after="0"/>
              <w:rPr>
                <w:sz w:val="20"/>
                <w:szCs w:val="20"/>
                <w:color w:val="auto"/>
              </w:rPr>
            </w:pPr>
            <w:r>
              <w:rPr>
                <w:rFonts w:ascii="Arial" w:cs="Arial" w:eastAsia="Arial" w:hAnsi="Arial"/>
                <w:sz w:val="7"/>
                <w:szCs w:val="7"/>
                <w:b w:val="1"/>
                <w:bCs w:val="1"/>
                <w:color w:val="05445E"/>
              </w:rPr>
              <w:t>PEO</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4"/>
              </w:rPr>
              <w:t>PEO</w:t>
            </w:r>
          </w:p>
        </w:tc>
        <w:tc>
          <w:tcPr>
            <w:tcW w:w="1020" w:type="dxa"/>
            <w:vAlign w:val="bottom"/>
          </w:tcPr>
          <w:p>
            <w:pPr>
              <w:jc w:val="center"/>
              <w:spacing w:after="0"/>
              <w:rPr>
                <w:sz w:val="20"/>
                <w:szCs w:val="20"/>
                <w:color w:val="auto"/>
              </w:rPr>
            </w:pPr>
            <w:r>
              <w:rPr>
                <w:rFonts w:ascii="Arial" w:cs="Arial" w:eastAsia="Arial" w:hAnsi="Arial"/>
                <w:sz w:val="7"/>
                <w:szCs w:val="7"/>
                <w:b w:val="1"/>
                <w:bCs w:val="1"/>
                <w:color w:val="05445E"/>
                <w:w w:val="94"/>
              </w:rPr>
              <w:t>PEO</w:t>
            </w:r>
          </w:p>
        </w:tc>
        <w:tc>
          <w:tcPr>
            <w:tcW w:w="100" w:type="dxa"/>
            <w:vAlign w:val="bottom"/>
          </w:tcPr>
          <w:p>
            <w:pPr>
              <w:spacing w:after="0"/>
              <w:rPr>
                <w:sz w:val="7"/>
                <w:szCs w:val="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4"/>
              </w:rPr>
              <w:t>NEOs</w:t>
            </w:r>
          </w:p>
        </w:tc>
        <w:tc>
          <w:tcPr>
            <w:tcW w:w="11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4"/>
              </w:rPr>
              <w:t>NEOs</w:t>
            </w:r>
          </w:p>
        </w:tc>
        <w:tc>
          <w:tcPr>
            <w:tcW w:w="100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rPr>
              <w:t>Return</w:t>
            </w:r>
          </w:p>
        </w:tc>
        <w:tc>
          <w:tcPr>
            <w:tcW w:w="1020" w:type="dxa"/>
            <w:vAlign w:val="bottom"/>
            <w:gridSpan w:val="2"/>
          </w:tcPr>
          <w:p>
            <w:pPr>
              <w:jc w:val="center"/>
              <w:ind w:right="80"/>
              <w:spacing w:after="0"/>
              <w:rPr>
                <w:sz w:val="20"/>
                <w:szCs w:val="20"/>
                <w:color w:val="auto"/>
              </w:rPr>
            </w:pPr>
            <w:r>
              <w:rPr>
                <w:rFonts w:ascii="Arial" w:cs="Arial" w:eastAsia="Arial" w:hAnsi="Arial"/>
                <w:sz w:val="7"/>
                <w:szCs w:val="7"/>
                <w:b w:val="1"/>
                <w:bCs w:val="1"/>
                <w:color w:val="05445E"/>
                <w:w w:val="97"/>
              </w:rPr>
              <w:t>Return</w:t>
            </w:r>
          </w:p>
        </w:tc>
        <w:tc>
          <w:tcPr>
            <w:tcW w:w="920" w:type="dxa"/>
            <w:vAlign w:val="bottom"/>
            <w:gridSpan w:val="2"/>
          </w:tcPr>
          <w:p>
            <w:pPr>
              <w:jc w:val="center"/>
              <w:ind w:right="100"/>
              <w:spacing w:after="0"/>
              <w:rPr>
                <w:sz w:val="20"/>
                <w:szCs w:val="20"/>
                <w:color w:val="auto"/>
              </w:rPr>
            </w:pPr>
            <w:r>
              <w:rPr>
                <w:rFonts w:ascii="Arial" w:cs="Arial" w:eastAsia="Arial" w:hAnsi="Arial"/>
                <w:sz w:val="7"/>
                <w:szCs w:val="7"/>
                <w:b w:val="1"/>
                <w:bCs w:val="1"/>
                <w:color w:val="05445E"/>
                <w:w w:val="96"/>
              </w:rPr>
              <w:t>($ in</w:t>
            </w:r>
          </w:p>
        </w:tc>
        <w:tc>
          <w:tcPr>
            <w:tcW w:w="960" w:type="dxa"/>
            <w:vAlign w:val="bottom"/>
          </w:tcPr>
          <w:p>
            <w:pPr>
              <w:jc w:val="center"/>
              <w:spacing w:after="0"/>
              <w:rPr>
                <w:sz w:val="20"/>
                <w:szCs w:val="20"/>
                <w:color w:val="auto"/>
              </w:rPr>
            </w:pPr>
            <w:r>
              <w:rPr>
                <w:rFonts w:ascii="Arial" w:cs="Arial" w:eastAsia="Arial" w:hAnsi="Arial"/>
                <w:sz w:val="7"/>
                <w:szCs w:val="7"/>
                <w:b w:val="1"/>
                <w:bCs w:val="1"/>
                <w:color w:val="05445E"/>
                <w:w w:val="96"/>
              </w:rPr>
              <w:t>($ in</w:t>
            </w:r>
          </w:p>
        </w:tc>
        <w:tc>
          <w:tcPr>
            <w:tcW w:w="0" w:type="dxa"/>
            <w:vAlign w:val="bottom"/>
          </w:tcPr>
          <w:p>
            <w:pPr>
              <w:spacing w:after="0"/>
              <w:rPr>
                <w:sz w:val="1"/>
                <w:szCs w:val="1"/>
                <w:color w:val="auto"/>
              </w:rPr>
            </w:pPr>
          </w:p>
        </w:tc>
      </w:tr>
      <w:tr>
        <w:trPr>
          <w:trHeight w:val="116"/>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rPr>
              <w:t>Fiscal Year</w:t>
            </w:r>
          </w:p>
        </w:tc>
        <w:tc>
          <w:tcPr>
            <w:tcW w:w="80" w:type="dxa"/>
            <w:vAlign w:val="bottom"/>
            <w:tcBorders>
              <w:bottom w:val="single" w:sz="8" w:color="DBDBDB"/>
            </w:tcBorders>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rPr>
              <w:t>($)</w:t>
            </w:r>
          </w:p>
        </w:tc>
        <w:tc>
          <w:tcPr>
            <w:tcW w:w="80" w:type="dxa"/>
            <w:vAlign w:val="bottom"/>
            <w:tcBorders>
              <w:bottom w:val="single" w:sz="8" w:color="DBDBDB"/>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364"/>
              <w:spacing w:after="0"/>
              <w:rPr>
                <w:sz w:val="20"/>
                <w:szCs w:val="20"/>
                <w:color w:val="auto"/>
              </w:rPr>
            </w:pPr>
            <w:r>
              <w:rPr>
                <w:rFonts w:ascii="Arial" w:cs="Arial" w:eastAsia="Arial" w:hAnsi="Arial"/>
                <w:sz w:val="7"/>
                <w:szCs w:val="7"/>
                <w:b w:val="1"/>
                <w:bCs w:val="1"/>
                <w:color w:val="05445E"/>
                <w:w w:val="87"/>
              </w:rPr>
              <w:t>($)</w:t>
            </w:r>
            <w:r>
              <w:rPr>
                <w:rFonts w:ascii="Arial" w:cs="Arial" w:eastAsia="Arial" w:hAnsi="Arial"/>
                <w:sz w:val="9"/>
                <w:szCs w:val="9"/>
                <w:b w:val="1"/>
                <w:bCs w:val="1"/>
                <w:color w:val="05445E"/>
                <w:w w:val="87"/>
                <w:vertAlign w:val="superscript"/>
              </w:rPr>
              <w:t>(4)</w:t>
            </w:r>
          </w:p>
        </w:tc>
        <w:tc>
          <w:tcPr>
            <w:tcW w:w="80" w:type="dxa"/>
            <w:vAlign w:val="bottom"/>
            <w:tcBorders>
              <w:bottom w:val="single" w:sz="8" w:color="DBDBDB"/>
            </w:tcBorders>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rPr>
              <w:t>($)</w:t>
            </w:r>
          </w:p>
        </w:tc>
        <w:tc>
          <w:tcPr>
            <w:tcW w:w="80" w:type="dxa"/>
            <w:vAlign w:val="bottom"/>
            <w:tcBorders>
              <w:bottom w:val="single" w:sz="8" w:color="DBDBDB"/>
            </w:tcBorders>
          </w:tcPr>
          <w:p>
            <w:pPr>
              <w:spacing w:after="0"/>
              <w:rPr>
                <w:sz w:val="10"/>
                <w:szCs w:val="10"/>
                <w:color w:val="auto"/>
              </w:rPr>
            </w:pPr>
          </w:p>
        </w:tc>
        <w:tc>
          <w:tcPr>
            <w:tcW w:w="102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05445E"/>
                <w:w w:val="90"/>
                <w:vertAlign w:val="subscript"/>
              </w:rPr>
              <w:t>($)</w:t>
            </w:r>
            <w:r>
              <w:rPr>
                <w:rFonts w:ascii="Arial" w:cs="Arial" w:eastAsia="Arial" w:hAnsi="Arial"/>
                <w:sz w:val="4"/>
                <w:szCs w:val="4"/>
                <w:b w:val="1"/>
                <w:bCs w:val="1"/>
                <w:color w:val="05445E"/>
                <w:w w:val="90"/>
              </w:rPr>
              <w:t>(4)</w:t>
            </w:r>
          </w:p>
        </w:tc>
        <w:tc>
          <w:tcPr>
            <w:tcW w:w="100" w:type="dxa"/>
            <w:vAlign w:val="bottom"/>
            <w:tcBorders>
              <w:bottom w:val="single" w:sz="8" w:color="DBDBDB"/>
            </w:tcBorders>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w w:val="87"/>
              </w:rPr>
              <w:t>($)</w:t>
            </w:r>
            <w:r>
              <w:rPr>
                <w:rFonts w:ascii="Arial" w:cs="Arial" w:eastAsia="Arial" w:hAnsi="Arial"/>
                <w:sz w:val="9"/>
                <w:szCs w:val="9"/>
                <w:b w:val="1"/>
                <w:bCs w:val="1"/>
                <w:color w:val="05445E"/>
                <w:w w:val="87"/>
                <w:vertAlign w:val="superscript"/>
              </w:rPr>
              <w:t>(3)</w:t>
            </w:r>
          </w:p>
        </w:tc>
        <w:tc>
          <w:tcPr>
            <w:tcW w:w="80" w:type="dxa"/>
            <w:vAlign w:val="bottom"/>
            <w:tcBorders>
              <w:bottom w:val="single" w:sz="8" w:color="DBDBDB"/>
            </w:tcBorders>
          </w:tcPr>
          <w:p>
            <w:pPr>
              <w:spacing w:after="0"/>
              <w:rPr>
                <w:sz w:val="10"/>
                <w:szCs w:val="10"/>
                <w:color w:val="auto"/>
              </w:rPr>
            </w:pPr>
          </w:p>
        </w:tc>
        <w:tc>
          <w:tcPr>
            <w:tcW w:w="102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05445E"/>
                <w:vertAlign w:val="subscript"/>
              </w:rPr>
              <w:t>($)</w:t>
            </w:r>
            <w:r>
              <w:rPr>
                <w:rFonts w:ascii="Arial" w:cs="Arial" w:eastAsia="Arial" w:hAnsi="Arial"/>
                <w:sz w:val="4"/>
                <w:szCs w:val="4"/>
                <w:b w:val="1"/>
                <w:bCs w:val="1"/>
                <w:color w:val="05445E"/>
              </w:rPr>
              <w:t>(3)(4)</w:t>
            </w:r>
          </w:p>
        </w:tc>
        <w:tc>
          <w:tcPr>
            <w:tcW w:w="80" w:type="dxa"/>
            <w:vAlign w:val="bottom"/>
            <w:tcBorders>
              <w:bottom w:val="single" w:sz="8" w:color="DBDBDB"/>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w w:val="87"/>
              </w:rPr>
              <w:t>($)</w:t>
            </w:r>
            <w:r>
              <w:rPr>
                <w:rFonts w:ascii="Arial" w:cs="Arial" w:eastAsia="Arial" w:hAnsi="Arial"/>
                <w:sz w:val="9"/>
                <w:szCs w:val="9"/>
                <w:b w:val="1"/>
                <w:bCs w:val="1"/>
                <w:color w:val="05445E"/>
                <w:w w:val="87"/>
                <w:vertAlign w:val="superscript"/>
              </w:rPr>
              <w:t>(5)</w:t>
            </w:r>
          </w:p>
        </w:tc>
        <w:tc>
          <w:tcPr>
            <w:tcW w:w="80" w:type="dxa"/>
            <w:vAlign w:val="bottom"/>
            <w:tcBorders>
              <w:bottom w:val="single" w:sz="8" w:color="DBDBDB"/>
            </w:tcBorders>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w w:val="87"/>
              </w:rPr>
              <w:t>($)</w:t>
            </w:r>
            <w:r>
              <w:rPr>
                <w:rFonts w:ascii="Arial" w:cs="Arial" w:eastAsia="Arial" w:hAnsi="Arial"/>
                <w:sz w:val="9"/>
                <w:szCs w:val="9"/>
                <w:b w:val="1"/>
                <w:bCs w:val="1"/>
                <w:color w:val="05445E"/>
                <w:w w:val="87"/>
                <w:vertAlign w:val="superscript"/>
              </w:rPr>
              <w:t>(6)</w:t>
            </w:r>
          </w:p>
        </w:tc>
        <w:tc>
          <w:tcPr>
            <w:tcW w:w="80" w:type="dxa"/>
            <w:vAlign w:val="bottom"/>
            <w:tcBorders>
              <w:bottom w:val="single" w:sz="8" w:color="DBDBDB"/>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rPr>
              <w:t>'000s)</w:t>
            </w:r>
          </w:p>
        </w:tc>
        <w:tc>
          <w:tcPr>
            <w:tcW w:w="80" w:type="dxa"/>
            <w:vAlign w:val="bottom"/>
            <w:tcBorders>
              <w:bottom w:val="single" w:sz="8" w:color="DBDBDB"/>
            </w:tcBorders>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05445E"/>
              </w:rPr>
              <w:t>'000s)</w:t>
            </w:r>
          </w:p>
        </w:tc>
        <w:tc>
          <w:tcPr>
            <w:tcW w:w="0" w:type="dxa"/>
            <w:vAlign w:val="bottom"/>
          </w:tcPr>
          <w:p>
            <w:pPr>
              <w:spacing w:after="0"/>
              <w:rPr>
                <w:sz w:val="1"/>
                <w:szCs w:val="1"/>
                <w:color w:val="auto"/>
              </w:rPr>
            </w:pPr>
          </w:p>
        </w:tc>
      </w:tr>
      <w:tr>
        <w:trPr>
          <w:trHeight w:val="95"/>
        </w:trPr>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7"/>
                <w:szCs w:val="7"/>
                <w:color w:val="auto"/>
              </w:rPr>
              <w:t>2026</w:t>
            </w:r>
          </w:p>
        </w:tc>
        <w:tc>
          <w:tcPr>
            <w:tcW w:w="80" w:type="dxa"/>
            <w:vAlign w:val="bottom"/>
            <w:tcBorders>
              <w:bottom w:val="single" w:sz="8" w:color="DBDBDB"/>
            </w:tcBorders>
            <w:shd w:val="clear" w:color="auto" w:fill="DBDBDB"/>
          </w:tcPr>
          <w:p>
            <w:pPr>
              <w:spacing w:after="0"/>
              <w:rPr>
                <w:sz w:val="8"/>
                <w:szCs w:val="8"/>
                <w:color w:val="auto"/>
              </w:rPr>
            </w:pPr>
          </w:p>
        </w:tc>
        <w:tc>
          <w:tcPr>
            <w:tcW w:w="900" w:type="dxa"/>
            <w:vAlign w:val="bottom"/>
            <w:tcBorders>
              <w:bottom w:val="single" w:sz="8" w:color="DBDBDB"/>
            </w:tcBorders>
            <w:shd w:val="clear" w:color="auto" w:fill="DBDBDB"/>
          </w:tcPr>
          <w:p>
            <w:pPr>
              <w:jc w:val="right"/>
              <w:ind w:right="64"/>
              <w:spacing w:after="0"/>
              <w:rPr>
                <w:sz w:val="20"/>
                <w:szCs w:val="20"/>
                <w:color w:val="auto"/>
              </w:rPr>
            </w:pPr>
            <w:r>
              <w:rPr>
                <w:rFonts w:ascii="Arial" w:cs="Arial" w:eastAsia="Arial" w:hAnsi="Arial"/>
                <w:sz w:val="7"/>
                <w:szCs w:val="7"/>
                <w:color w:val="auto"/>
              </w:rPr>
              <w:t>2,163,921</w:t>
            </w:r>
          </w:p>
        </w:tc>
        <w:tc>
          <w:tcPr>
            <w:tcW w:w="80" w:type="dxa"/>
            <w:vAlign w:val="bottom"/>
            <w:tcBorders>
              <w:bottom w:val="single" w:sz="8" w:color="DBDBDB"/>
            </w:tcBorders>
            <w:shd w:val="clear" w:color="auto" w:fill="DBDBDB"/>
          </w:tcPr>
          <w:p>
            <w:pPr>
              <w:spacing w:after="0"/>
              <w:rPr>
                <w:sz w:val="8"/>
                <w:szCs w:val="8"/>
                <w:color w:val="auto"/>
              </w:rPr>
            </w:pPr>
          </w:p>
        </w:tc>
        <w:tc>
          <w:tcPr>
            <w:tcW w:w="380" w:type="dxa"/>
            <w:vAlign w:val="bottom"/>
            <w:tcBorders>
              <w:bottom w:val="single" w:sz="8" w:color="DBDBDB"/>
            </w:tcBorders>
            <w:shd w:val="clear" w:color="auto" w:fill="DBDBDB"/>
          </w:tcPr>
          <w:p>
            <w:pPr>
              <w:spacing w:after="0"/>
              <w:rPr>
                <w:sz w:val="8"/>
                <w:szCs w:val="8"/>
                <w:color w:val="auto"/>
              </w:rPr>
            </w:pPr>
          </w:p>
        </w:tc>
        <w:tc>
          <w:tcPr>
            <w:tcW w:w="74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7"/>
                <w:szCs w:val="7"/>
                <w:color w:val="auto"/>
              </w:rPr>
              <w:t>2,374,668</w:t>
            </w:r>
          </w:p>
        </w:tc>
        <w:tc>
          <w:tcPr>
            <w:tcW w:w="80" w:type="dxa"/>
            <w:vAlign w:val="bottom"/>
            <w:tcBorders>
              <w:bottom w:val="single" w:sz="8" w:color="DBDBDB"/>
            </w:tcBorders>
            <w:shd w:val="clear" w:color="auto" w:fill="DBDBDB"/>
          </w:tcPr>
          <w:p>
            <w:pPr>
              <w:spacing w:after="0"/>
              <w:rPr>
                <w:sz w:val="8"/>
                <w:szCs w:val="8"/>
                <w:color w:val="auto"/>
              </w:rPr>
            </w:pPr>
          </w:p>
        </w:tc>
        <w:tc>
          <w:tcPr>
            <w:tcW w:w="10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7"/>
                <w:szCs w:val="7"/>
                <w:color w:val="auto"/>
              </w:rPr>
              <w:t>6,075,286</w:t>
            </w:r>
          </w:p>
        </w:tc>
        <w:tc>
          <w:tcPr>
            <w:tcW w:w="80" w:type="dxa"/>
            <w:vAlign w:val="bottom"/>
            <w:tcBorders>
              <w:bottom w:val="single" w:sz="8" w:color="DBDBDB"/>
            </w:tcBorders>
            <w:shd w:val="clear" w:color="auto" w:fill="DBDBDB"/>
          </w:tcPr>
          <w:p>
            <w:pPr>
              <w:spacing w:after="0"/>
              <w:rPr>
                <w:sz w:val="8"/>
                <w:szCs w:val="8"/>
                <w:color w:val="auto"/>
              </w:rPr>
            </w:pPr>
          </w:p>
        </w:tc>
        <w:tc>
          <w:tcPr>
            <w:tcW w:w="10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7"/>
                <w:szCs w:val="7"/>
                <w:color w:val="auto"/>
              </w:rPr>
              <w:t>3,609,202</w:t>
            </w:r>
          </w:p>
        </w:tc>
        <w:tc>
          <w:tcPr>
            <w:tcW w:w="1120" w:type="dxa"/>
            <w:vAlign w:val="bottom"/>
            <w:tcBorders>
              <w:bottom w:val="single" w:sz="8" w:color="DBDBDB"/>
            </w:tcBorders>
            <w:gridSpan w:val="2"/>
            <w:shd w:val="clear" w:color="auto" w:fill="DBDBDB"/>
          </w:tcPr>
          <w:p>
            <w:pPr>
              <w:jc w:val="right"/>
              <w:ind w:right="124"/>
              <w:spacing w:after="0"/>
              <w:rPr>
                <w:sz w:val="20"/>
                <w:szCs w:val="20"/>
                <w:color w:val="auto"/>
              </w:rPr>
            </w:pPr>
            <w:r>
              <w:rPr>
                <w:rFonts w:ascii="Arial" w:cs="Arial" w:eastAsia="Arial" w:hAnsi="Arial"/>
                <w:sz w:val="7"/>
                <w:szCs w:val="7"/>
                <w:color w:val="auto"/>
              </w:rPr>
              <w:t>1,725,694</w:t>
            </w:r>
          </w:p>
        </w:tc>
        <w:tc>
          <w:tcPr>
            <w:tcW w:w="80" w:type="dxa"/>
            <w:vAlign w:val="bottom"/>
            <w:tcBorders>
              <w:bottom w:val="single" w:sz="8" w:color="DBDBDB"/>
            </w:tcBorders>
            <w:shd w:val="clear" w:color="auto" w:fill="DBDBDB"/>
          </w:tcPr>
          <w:p>
            <w:pPr>
              <w:spacing w:after="0"/>
              <w:rPr>
                <w:sz w:val="8"/>
                <w:szCs w:val="8"/>
                <w:color w:val="auto"/>
              </w:rPr>
            </w:pPr>
          </w:p>
        </w:tc>
        <w:tc>
          <w:tcPr>
            <w:tcW w:w="102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1,184,467</w:t>
            </w:r>
          </w:p>
        </w:tc>
        <w:tc>
          <w:tcPr>
            <w:tcW w:w="80" w:type="dxa"/>
            <w:vAlign w:val="bottom"/>
            <w:tcBorders>
              <w:bottom w:val="single" w:sz="8" w:color="DBDBDB"/>
            </w:tcBorders>
            <w:shd w:val="clear" w:color="auto" w:fill="DBDBDB"/>
          </w:tcPr>
          <w:p>
            <w:pPr>
              <w:spacing w:after="0"/>
              <w:rPr>
                <w:sz w:val="8"/>
                <w:szCs w:val="8"/>
                <w:color w:val="auto"/>
              </w:rPr>
            </w:pPr>
          </w:p>
        </w:tc>
        <w:tc>
          <w:tcPr>
            <w:tcW w:w="920" w:type="dxa"/>
            <w:vAlign w:val="bottom"/>
            <w:tcBorders>
              <w:bottom w:val="single" w:sz="8" w:color="DBDBDB"/>
            </w:tcBorders>
            <w:shd w:val="clear" w:color="auto" w:fill="DBDBDB"/>
          </w:tcPr>
          <w:p>
            <w:pPr>
              <w:jc w:val="right"/>
              <w:ind w:right="104"/>
              <w:spacing w:after="0"/>
              <w:rPr>
                <w:sz w:val="20"/>
                <w:szCs w:val="20"/>
                <w:color w:val="auto"/>
              </w:rPr>
            </w:pPr>
            <w:r>
              <w:rPr>
                <w:rFonts w:ascii="Arial" w:cs="Arial" w:eastAsia="Arial" w:hAnsi="Arial"/>
                <w:sz w:val="7"/>
                <w:szCs w:val="7"/>
                <w:color w:val="auto"/>
              </w:rPr>
              <w:t>118.17</w:t>
            </w:r>
          </w:p>
        </w:tc>
        <w:tc>
          <w:tcPr>
            <w:tcW w:w="80" w:type="dxa"/>
            <w:vAlign w:val="bottom"/>
            <w:tcBorders>
              <w:bottom w:val="single" w:sz="8" w:color="DBDBDB"/>
            </w:tcBorders>
            <w:shd w:val="clear" w:color="auto" w:fill="DBDBDB"/>
          </w:tcPr>
          <w:p>
            <w:pPr>
              <w:spacing w:after="0"/>
              <w:rPr>
                <w:sz w:val="8"/>
                <w:szCs w:val="8"/>
                <w:color w:val="auto"/>
              </w:rPr>
            </w:pPr>
          </w:p>
        </w:tc>
        <w:tc>
          <w:tcPr>
            <w:tcW w:w="94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7"/>
                <w:szCs w:val="7"/>
                <w:color w:val="auto"/>
              </w:rPr>
              <w:t>191.65</w:t>
            </w:r>
          </w:p>
        </w:tc>
        <w:tc>
          <w:tcPr>
            <w:tcW w:w="80" w:type="dxa"/>
            <w:vAlign w:val="bottom"/>
            <w:tcBorders>
              <w:bottom w:val="single" w:sz="8" w:color="DBDBDB"/>
            </w:tcBorders>
            <w:shd w:val="clear" w:color="auto" w:fill="DBDBDB"/>
          </w:tcPr>
          <w:p>
            <w:pPr>
              <w:spacing w:after="0"/>
              <w:rPr>
                <w:sz w:val="8"/>
                <w:szCs w:val="8"/>
                <w:color w:val="auto"/>
              </w:rPr>
            </w:pPr>
          </w:p>
        </w:tc>
        <w:tc>
          <w:tcPr>
            <w:tcW w:w="840" w:type="dxa"/>
            <w:vAlign w:val="bottom"/>
            <w:tcBorders>
              <w:bottom w:val="single" w:sz="8" w:color="DBDBDB"/>
            </w:tcBorders>
            <w:shd w:val="clear" w:color="auto" w:fill="DBDBDB"/>
          </w:tcPr>
          <w:p>
            <w:pPr>
              <w:jc w:val="right"/>
              <w:ind w:right="64"/>
              <w:spacing w:after="0"/>
              <w:rPr>
                <w:sz w:val="20"/>
                <w:szCs w:val="20"/>
                <w:color w:val="auto"/>
              </w:rPr>
            </w:pPr>
            <w:r>
              <w:rPr>
                <w:rFonts w:ascii="Arial" w:cs="Arial" w:eastAsia="Arial" w:hAnsi="Arial"/>
                <w:sz w:val="7"/>
                <w:szCs w:val="7"/>
                <w:color w:val="auto"/>
              </w:rPr>
              <w:t>54,131</w:t>
            </w:r>
          </w:p>
        </w:tc>
        <w:tc>
          <w:tcPr>
            <w:tcW w:w="80" w:type="dxa"/>
            <w:vAlign w:val="bottom"/>
            <w:tcBorders>
              <w:bottom w:val="single" w:sz="8" w:color="DBDBDB"/>
            </w:tcBorders>
            <w:shd w:val="clear" w:color="auto" w:fill="DBDBDB"/>
          </w:tcPr>
          <w:p>
            <w:pPr>
              <w:spacing w:after="0"/>
              <w:rPr>
                <w:sz w:val="8"/>
                <w:szCs w:val="8"/>
                <w:color w:val="auto"/>
              </w:rPr>
            </w:pPr>
          </w:p>
        </w:tc>
        <w:tc>
          <w:tcPr>
            <w:tcW w:w="96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7"/>
                <w:szCs w:val="7"/>
                <w:color w:val="auto"/>
              </w:rPr>
              <w:t>167,303</w:t>
            </w:r>
          </w:p>
        </w:tc>
        <w:tc>
          <w:tcPr>
            <w:tcW w:w="0" w:type="dxa"/>
            <w:vAlign w:val="bottom"/>
          </w:tcPr>
          <w:p>
            <w:pPr>
              <w:spacing w:after="0"/>
              <w:rPr>
                <w:sz w:val="1"/>
                <w:szCs w:val="1"/>
                <w:color w:val="auto"/>
              </w:rPr>
            </w:pPr>
          </w:p>
        </w:tc>
      </w:tr>
      <w:tr>
        <w:trPr>
          <w:trHeight w:val="103"/>
        </w:trPr>
        <w:tc>
          <w:tcPr>
            <w:tcW w:w="540" w:type="dxa"/>
            <w:vAlign w:val="bottom"/>
          </w:tcPr>
          <w:p>
            <w:pPr>
              <w:jc w:val="center"/>
              <w:spacing w:after="0"/>
              <w:rPr>
                <w:sz w:val="20"/>
                <w:szCs w:val="20"/>
                <w:color w:val="auto"/>
              </w:rPr>
            </w:pPr>
            <w:r>
              <w:rPr>
                <w:rFonts w:ascii="Arial" w:cs="Arial" w:eastAsia="Arial" w:hAnsi="Arial"/>
                <w:sz w:val="7"/>
                <w:szCs w:val="7"/>
                <w:color w:val="auto"/>
              </w:rPr>
              <w:t>2025</w:t>
            </w:r>
          </w:p>
        </w:tc>
        <w:tc>
          <w:tcPr>
            <w:tcW w:w="80" w:type="dxa"/>
            <w:vAlign w:val="bottom"/>
          </w:tcPr>
          <w:p>
            <w:pPr>
              <w:spacing w:after="0"/>
              <w:rPr>
                <w:sz w:val="8"/>
                <w:szCs w:val="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7"/>
                <w:szCs w:val="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020" w:type="dxa"/>
            <w:vAlign w:val="bottom"/>
          </w:tcPr>
          <w:p>
            <w:pPr>
              <w:jc w:val="center"/>
              <w:spacing w:after="0"/>
              <w:rPr>
                <w:sz w:val="20"/>
                <w:szCs w:val="20"/>
                <w:color w:val="auto"/>
              </w:rPr>
            </w:pPr>
            <w:r>
              <w:rPr>
                <w:rFonts w:ascii="Arial" w:cs="Arial" w:eastAsia="Arial" w:hAnsi="Arial"/>
                <w:sz w:val="7"/>
                <w:szCs w:val="7"/>
                <w:color w:val="auto"/>
              </w:rPr>
              <w:t>5,255,526</w:t>
            </w:r>
          </w:p>
        </w:tc>
        <w:tc>
          <w:tcPr>
            <w:tcW w:w="80" w:type="dxa"/>
            <w:vAlign w:val="bottom"/>
          </w:tcPr>
          <w:p>
            <w:pPr>
              <w:spacing w:after="0"/>
              <w:rPr>
                <w:sz w:val="8"/>
                <w:szCs w:val="8"/>
                <w:color w:val="auto"/>
              </w:rPr>
            </w:pPr>
          </w:p>
        </w:tc>
        <w:tc>
          <w:tcPr>
            <w:tcW w:w="1020" w:type="dxa"/>
            <w:vAlign w:val="bottom"/>
          </w:tcPr>
          <w:p>
            <w:pPr>
              <w:jc w:val="center"/>
              <w:spacing w:after="0"/>
              <w:rPr>
                <w:sz w:val="20"/>
                <w:szCs w:val="20"/>
                <w:color w:val="auto"/>
              </w:rPr>
            </w:pPr>
            <w:r>
              <w:rPr>
                <w:rFonts w:ascii="Arial" w:cs="Arial" w:eastAsia="Arial" w:hAnsi="Arial"/>
                <w:sz w:val="7"/>
                <w:szCs w:val="7"/>
                <w:color w:val="auto"/>
              </w:rPr>
              <w:t>3,955,797</w:t>
            </w:r>
          </w:p>
        </w:tc>
        <w:tc>
          <w:tcPr>
            <w:tcW w:w="1120" w:type="dxa"/>
            <w:vAlign w:val="bottom"/>
            <w:gridSpan w:val="2"/>
          </w:tcPr>
          <w:p>
            <w:pPr>
              <w:jc w:val="right"/>
              <w:ind w:right="124"/>
              <w:spacing w:after="0"/>
              <w:rPr>
                <w:sz w:val="20"/>
                <w:szCs w:val="20"/>
                <w:color w:val="auto"/>
              </w:rPr>
            </w:pPr>
            <w:r>
              <w:rPr>
                <w:rFonts w:ascii="Arial" w:cs="Arial" w:eastAsia="Arial" w:hAnsi="Arial"/>
                <w:sz w:val="7"/>
                <w:szCs w:val="7"/>
                <w:color w:val="auto"/>
              </w:rPr>
              <w:t>1,554,489</w:t>
            </w:r>
          </w:p>
        </w:tc>
        <w:tc>
          <w:tcPr>
            <w:tcW w:w="80" w:type="dxa"/>
            <w:vAlign w:val="bottom"/>
          </w:tcPr>
          <w:p>
            <w:pPr>
              <w:spacing w:after="0"/>
              <w:rPr>
                <w:sz w:val="8"/>
                <w:szCs w:val="8"/>
                <w:color w:val="auto"/>
              </w:rPr>
            </w:pPr>
          </w:p>
        </w:tc>
        <w:tc>
          <w:tcPr>
            <w:tcW w:w="1020" w:type="dxa"/>
            <w:vAlign w:val="bottom"/>
          </w:tcPr>
          <w:p>
            <w:pPr>
              <w:jc w:val="right"/>
              <w:ind w:right="45"/>
              <w:spacing w:after="0"/>
              <w:rPr>
                <w:sz w:val="20"/>
                <w:szCs w:val="20"/>
                <w:color w:val="auto"/>
              </w:rPr>
            </w:pPr>
            <w:r>
              <w:rPr>
                <w:rFonts w:ascii="Arial" w:cs="Arial" w:eastAsia="Arial" w:hAnsi="Arial"/>
                <w:sz w:val="7"/>
                <w:szCs w:val="7"/>
                <w:color w:val="auto"/>
              </w:rPr>
              <w:t>1,340,415</w:t>
            </w:r>
          </w:p>
        </w:tc>
        <w:tc>
          <w:tcPr>
            <w:tcW w:w="80" w:type="dxa"/>
            <w:vAlign w:val="bottom"/>
          </w:tcPr>
          <w:p>
            <w:pPr>
              <w:spacing w:after="0"/>
              <w:rPr>
                <w:sz w:val="8"/>
                <w:szCs w:val="8"/>
                <w:color w:val="auto"/>
              </w:rPr>
            </w:pPr>
          </w:p>
        </w:tc>
        <w:tc>
          <w:tcPr>
            <w:tcW w:w="920" w:type="dxa"/>
            <w:vAlign w:val="bottom"/>
          </w:tcPr>
          <w:p>
            <w:pPr>
              <w:jc w:val="right"/>
              <w:ind w:right="104"/>
              <w:spacing w:after="0"/>
              <w:rPr>
                <w:sz w:val="20"/>
                <w:szCs w:val="20"/>
                <w:color w:val="auto"/>
              </w:rPr>
            </w:pPr>
            <w:r>
              <w:rPr>
                <w:rFonts w:ascii="Arial" w:cs="Arial" w:eastAsia="Arial" w:hAnsi="Arial"/>
                <w:sz w:val="7"/>
                <w:szCs w:val="7"/>
                <w:color w:val="auto"/>
              </w:rPr>
              <w:t>138.53</w:t>
            </w:r>
          </w:p>
        </w:tc>
        <w:tc>
          <w:tcPr>
            <w:tcW w:w="80" w:type="dxa"/>
            <w:vAlign w:val="bottom"/>
          </w:tcPr>
          <w:p>
            <w:pPr>
              <w:spacing w:after="0"/>
              <w:rPr>
                <w:sz w:val="8"/>
                <w:szCs w:val="8"/>
                <w:color w:val="auto"/>
              </w:rPr>
            </w:pPr>
          </w:p>
        </w:tc>
        <w:tc>
          <w:tcPr>
            <w:tcW w:w="940" w:type="dxa"/>
            <w:vAlign w:val="bottom"/>
          </w:tcPr>
          <w:p>
            <w:pPr>
              <w:jc w:val="right"/>
              <w:ind w:right="124"/>
              <w:spacing w:after="0"/>
              <w:rPr>
                <w:sz w:val="20"/>
                <w:szCs w:val="20"/>
                <w:color w:val="auto"/>
              </w:rPr>
            </w:pPr>
            <w:r>
              <w:rPr>
                <w:rFonts w:ascii="Arial" w:cs="Arial" w:eastAsia="Arial" w:hAnsi="Arial"/>
                <w:sz w:val="7"/>
                <w:szCs w:val="7"/>
                <w:color w:val="auto"/>
              </w:rPr>
              <w:t>146.59</w:t>
            </w:r>
          </w:p>
        </w:tc>
        <w:tc>
          <w:tcPr>
            <w:tcW w:w="80" w:type="dxa"/>
            <w:vAlign w:val="bottom"/>
          </w:tcPr>
          <w:p>
            <w:pPr>
              <w:spacing w:after="0"/>
              <w:rPr>
                <w:sz w:val="8"/>
                <w:szCs w:val="8"/>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85,052</w:t>
            </w:r>
          </w:p>
        </w:tc>
        <w:tc>
          <w:tcPr>
            <w:tcW w:w="80" w:type="dxa"/>
            <w:vAlign w:val="bottom"/>
          </w:tcPr>
          <w:p>
            <w:pPr>
              <w:spacing w:after="0"/>
              <w:rPr>
                <w:sz w:val="8"/>
                <w:szCs w:val="8"/>
                <w:color w:val="auto"/>
              </w:rPr>
            </w:pPr>
          </w:p>
        </w:tc>
        <w:tc>
          <w:tcPr>
            <w:tcW w:w="960" w:type="dxa"/>
            <w:vAlign w:val="bottom"/>
          </w:tcPr>
          <w:p>
            <w:pPr>
              <w:jc w:val="right"/>
              <w:ind w:right="124"/>
              <w:spacing w:after="0"/>
              <w:rPr>
                <w:sz w:val="20"/>
                <w:szCs w:val="20"/>
                <w:color w:val="auto"/>
              </w:rPr>
            </w:pPr>
            <w:r>
              <w:rPr>
                <w:rFonts w:ascii="Arial" w:cs="Arial" w:eastAsia="Arial" w:hAnsi="Arial"/>
                <w:sz w:val="7"/>
                <w:szCs w:val="7"/>
                <w:color w:val="auto"/>
              </w:rPr>
              <w:t>192,653</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7"/>
                <w:szCs w:val="7"/>
                <w:color w:val="auto"/>
              </w:rPr>
              <w:t>2024</w:t>
            </w:r>
          </w:p>
        </w:tc>
        <w:tc>
          <w:tcPr>
            <w:tcW w:w="80" w:type="dxa"/>
            <w:vAlign w:val="bottom"/>
            <w:tcBorders>
              <w:bottom w:val="single" w:sz="8" w:color="DBDBDB"/>
            </w:tcBorders>
            <w:shd w:val="clear" w:color="auto" w:fill="DBDBDB"/>
          </w:tcPr>
          <w:p>
            <w:pPr>
              <w:spacing w:after="0"/>
              <w:rPr>
                <w:sz w:val="9"/>
                <w:szCs w:val="9"/>
                <w:color w:val="auto"/>
              </w:rPr>
            </w:pPr>
          </w:p>
        </w:tc>
        <w:tc>
          <w:tcPr>
            <w:tcW w:w="1360" w:type="dxa"/>
            <w:vAlign w:val="bottom"/>
            <w:tcBorders>
              <w:bottom w:val="single" w:sz="8" w:color="DBDBDB"/>
            </w:tcBorders>
            <w:gridSpan w:val="3"/>
            <w:shd w:val="clear" w:color="auto" w:fill="DBDBDB"/>
          </w:tcPr>
          <w:p>
            <w:pPr>
              <w:jc w:val="right"/>
              <w:ind w:right="560"/>
              <w:spacing w:after="0"/>
              <w:rPr>
                <w:sz w:val="20"/>
                <w:szCs w:val="20"/>
                <w:color w:val="auto"/>
              </w:rPr>
            </w:pPr>
            <w:r>
              <w:rPr>
                <w:rFonts w:ascii="Arial" w:cs="Arial" w:eastAsia="Arial" w:hAnsi="Arial"/>
                <w:sz w:val="7"/>
                <w:szCs w:val="7"/>
                <w:color w:val="auto"/>
              </w:rPr>
              <w:t>—</w:t>
            </w:r>
          </w:p>
        </w:tc>
        <w:tc>
          <w:tcPr>
            <w:tcW w:w="820" w:type="dxa"/>
            <w:vAlign w:val="bottom"/>
            <w:tcBorders>
              <w:bottom w:val="single" w:sz="8" w:color="DBDBDB"/>
            </w:tcBorders>
            <w:gridSpan w:val="2"/>
            <w:shd w:val="clear" w:color="auto" w:fill="DBDBDB"/>
          </w:tcPr>
          <w:p>
            <w:pPr>
              <w:jc w:val="right"/>
              <w:ind w:right="240"/>
              <w:spacing w:after="0"/>
              <w:rPr>
                <w:sz w:val="20"/>
                <w:szCs w:val="20"/>
                <w:color w:val="auto"/>
              </w:rPr>
            </w:pPr>
            <w:r>
              <w:rPr>
                <w:rFonts w:ascii="Arial" w:cs="Arial" w:eastAsia="Arial" w:hAnsi="Arial"/>
                <w:sz w:val="7"/>
                <w:szCs w:val="7"/>
                <w:color w:val="auto"/>
              </w:rPr>
              <w:t>—</w:t>
            </w:r>
          </w:p>
        </w:tc>
        <w:tc>
          <w:tcPr>
            <w:tcW w:w="10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7"/>
                <w:szCs w:val="7"/>
                <w:color w:val="auto"/>
              </w:rPr>
              <w:t>5,498,397</w:t>
            </w:r>
          </w:p>
        </w:tc>
        <w:tc>
          <w:tcPr>
            <w:tcW w:w="80" w:type="dxa"/>
            <w:vAlign w:val="bottom"/>
            <w:tcBorders>
              <w:bottom w:val="single" w:sz="8" w:color="DBDBDB"/>
            </w:tcBorders>
            <w:shd w:val="clear" w:color="auto" w:fill="DBDBDB"/>
          </w:tcPr>
          <w:p>
            <w:pPr>
              <w:spacing w:after="0"/>
              <w:rPr>
                <w:sz w:val="9"/>
                <w:szCs w:val="9"/>
                <w:color w:val="auto"/>
              </w:rPr>
            </w:pPr>
          </w:p>
        </w:tc>
        <w:tc>
          <w:tcPr>
            <w:tcW w:w="10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7"/>
                <w:szCs w:val="7"/>
                <w:color w:val="auto"/>
              </w:rPr>
              <w:t>4,809,357</w:t>
            </w:r>
          </w:p>
        </w:tc>
        <w:tc>
          <w:tcPr>
            <w:tcW w:w="1120" w:type="dxa"/>
            <w:vAlign w:val="bottom"/>
            <w:tcBorders>
              <w:bottom w:val="single" w:sz="8" w:color="DBDBDB"/>
            </w:tcBorders>
            <w:gridSpan w:val="2"/>
            <w:shd w:val="clear" w:color="auto" w:fill="DBDBDB"/>
          </w:tcPr>
          <w:p>
            <w:pPr>
              <w:jc w:val="right"/>
              <w:ind w:right="124"/>
              <w:spacing w:after="0"/>
              <w:rPr>
                <w:sz w:val="20"/>
                <w:szCs w:val="20"/>
                <w:color w:val="auto"/>
              </w:rPr>
            </w:pPr>
            <w:r>
              <w:rPr>
                <w:rFonts w:ascii="Arial" w:cs="Arial" w:eastAsia="Arial" w:hAnsi="Arial"/>
                <w:sz w:val="7"/>
                <w:szCs w:val="7"/>
                <w:color w:val="auto"/>
              </w:rPr>
              <w:t>413,411</w:t>
            </w:r>
          </w:p>
        </w:tc>
        <w:tc>
          <w:tcPr>
            <w:tcW w:w="80" w:type="dxa"/>
            <w:vAlign w:val="bottom"/>
            <w:tcBorders>
              <w:bottom w:val="single" w:sz="8" w:color="DBDBDB"/>
            </w:tcBorders>
            <w:shd w:val="clear" w:color="auto" w:fill="DBDBDB"/>
          </w:tcPr>
          <w:p>
            <w:pPr>
              <w:spacing w:after="0"/>
              <w:rPr>
                <w:sz w:val="9"/>
                <w:szCs w:val="9"/>
                <w:color w:val="auto"/>
              </w:rPr>
            </w:pPr>
          </w:p>
        </w:tc>
        <w:tc>
          <w:tcPr>
            <w:tcW w:w="102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1,564,002</w:t>
            </w:r>
          </w:p>
        </w:tc>
        <w:tc>
          <w:tcPr>
            <w:tcW w:w="80" w:type="dxa"/>
            <w:vAlign w:val="bottom"/>
            <w:tcBorders>
              <w:bottom w:val="single" w:sz="8" w:color="DBDBDB"/>
            </w:tcBorders>
            <w:shd w:val="clear" w:color="auto" w:fill="DBDBDB"/>
          </w:tcPr>
          <w:p>
            <w:pPr>
              <w:spacing w:after="0"/>
              <w:rPr>
                <w:sz w:val="9"/>
                <w:szCs w:val="9"/>
                <w:color w:val="auto"/>
              </w:rPr>
            </w:pPr>
          </w:p>
        </w:tc>
        <w:tc>
          <w:tcPr>
            <w:tcW w:w="920" w:type="dxa"/>
            <w:vAlign w:val="bottom"/>
            <w:tcBorders>
              <w:bottom w:val="single" w:sz="8" w:color="DBDBDB"/>
            </w:tcBorders>
            <w:shd w:val="clear" w:color="auto" w:fill="DBDBDB"/>
          </w:tcPr>
          <w:p>
            <w:pPr>
              <w:jc w:val="right"/>
              <w:ind w:right="104"/>
              <w:spacing w:after="0"/>
              <w:rPr>
                <w:sz w:val="20"/>
                <w:szCs w:val="20"/>
                <w:color w:val="auto"/>
              </w:rPr>
            </w:pPr>
            <w:r>
              <w:rPr>
                <w:rFonts w:ascii="Arial" w:cs="Arial" w:eastAsia="Arial" w:hAnsi="Arial"/>
                <w:sz w:val="7"/>
                <w:szCs w:val="7"/>
                <w:color w:val="auto"/>
              </w:rPr>
              <w:t>162.31</w:t>
            </w:r>
          </w:p>
        </w:tc>
        <w:tc>
          <w:tcPr>
            <w:tcW w:w="80" w:type="dxa"/>
            <w:vAlign w:val="bottom"/>
            <w:tcBorders>
              <w:bottom w:val="single" w:sz="8" w:color="DBDBDB"/>
            </w:tcBorders>
            <w:shd w:val="clear" w:color="auto" w:fill="DBDBDB"/>
          </w:tcPr>
          <w:p>
            <w:pPr>
              <w:spacing w:after="0"/>
              <w:rPr>
                <w:sz w:val="9"/>
                <w:szCs w:val="9"/>
                <w:color w:val="auto"/>
              </w:rPr>
            </w:pPr>
          </w:p>
        </w:tc>
        <w:tc>
          <w:tcPr>
            <w:tcW w:w="94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7"/>
                <w:szCs w:val="7"/>
                <w:color w:val="auto"/>
              </w:rPr>
              <w:t>135.72</w:t>
            </w:r>
          </w:p>
        </w:tc>
        <w:tc>
          <w:tcPr>
            <w:tcW w:w="80" w:type="dxa"/>
            <w:vAlign w:val="bottom"/>
            <w:tcBorders>
              <w:bottom w:val="single" w:sz="8" w:color="DBDBDB"/>
            </w:tcBorders>
            <w:shd w:val="clear" w:color="auto" w:fill="DBDBDB"/>
          </w:tcPr>
          <w:p>
            <w:pPr>
              <w:spacing w:after="0"/>
              <w:rPr>
                <w:sz w:val="9"/>
                <w:szCs w:val="9"/>
                <w:color w:val="auto"/>
              </w:rPr>
            </w:pPr>
          </w:p>
        </w:tc>
        <w:tc>
          <w:tcPr>
            <w:tcW w:w="840" w:type="dxa"/>
            <w:vAlign w:val="bottom"/>
            <w:tcBorders>
              <w:bottom w:val="single" w:sz="8" w:color="DBDBDB"/>
            </w:tcBorders>
            <w:shd w:val="clear" w:color="auto" w:fill="DBDBDB"/>
          </w:tcPr>
          <w:p>
            <w:pPr>
              <w:jc w:val="right"/>
              <w:ind w:right="64"/>
              <w:spacing w:after="0"/>
              <w:rPr>
                <w:sz w:val="20"/>
                <w:szCs w:val="20"/>
                <w:color w:val="auto"/>
              </w:rPr>
            </w:pPr>
            <w:r>
              <w:rPr>
                <w:rFonts w:ascii="Arial" w:cs="Arial" w:eastAsia="Arial" w:hAnsi="Arial"/>
                <w:sz w:val="7"/>
                <w:szCs w:val="7"/>
                <w:color w:val="auto"/>
              </w:rPr>
              <w:t>99,613</w:t>
            </w:r>
          </w:p>
        </w:tc>
        <w:tc>
          <w:tcPr>
            <w:tcW w:w="80" w:type="dxa"/>
            <w:vAlign w:val="bottom"/>
            <w:tcBorders>
              <w:bottom w:val="single" w:sz="8" w:color="DBDBDB"/>
            </w:tcBorders>
            <w:shd w:val="clear" w:color="auto" w:fill="DBDBDB"/>
          </w:tcPr>
          <w:p>
            <w:pPr>
              <w:spacing w:after="0"/>
              <w:rPr>
                <w:sz w:val="9"/>
                <w:szCs w:val="9"/>
                <w:color w:val="auto"/>
              </w:rPr>
            </w:pPr>
          </w:p>
        </w:tc>
        <w:tc>
          <w:tcPr>
            <w:tcW w:w="96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7"/>
                <w:szCs w:val="7"/>
                <w:color w:val="auto"/>
              </w:rPr>
              <w:t>185,226</w:t>
            </w:r>
          </w:p>
        </w:tc>
        <w:tc>
          <w:tcPr>
            <w:tcW w:w="0" w:type="dxa"/>
            <w:vAlign w:val="bottom"/>
          </w:tcPr>
          <w:p>
            <w:pPr>
              <w:spacing w:after="0"/>
              <w:rPr>
                <w:sz w:val="1"/>
                <w:szCs w:val="1"/>
                <w:color w:val="auto"/>
              </w:rPr>
            </w:pPr>
          </w:p>
        </w:tc>
      </w:tr>
      <w:tr>
        <w:trPr>
          <w:trHeight w:val="103"/>
        </w:trPr>
        <w:tc>
          <w:tcPr>
            <w:tcW w:w="540" w:type="dxa"/>
            <w:vAlign w:val="bottom"/>
          </w:tcPr>
          <w:p>
            <w:pPr>
              <w:jc w:val="center"/>
              <w:spacing w:after="0"/>
              <w:rPr>
                <w:sz w:val="20"/>
                <w:szCs w:val="20"/>
                <w:color w:val="auto"/>
              </w:rPr>
            </w:pPr>
            <w:r>
              <w:rPr>
                <w:rFonts w:ascii="Arial" w:cs="Arial" w:eastAsia="Arial" w:hAnsi="Arial"/>
                <w:sz w:val="7"/>
                <w:szCs w:val="7"/>
                <w:color w:val="auto"/>
              </w:rPr>
              <w:t>2023</w:t>
            </w:r>
          </w:p>
        </w:tc>
        <w:tc>
          <w:tcPr>
            <w:tcW w:w="80" w:type="dxa"/>
            <w:vAlign w:val="bottom"/>
          </w:tcPr>
          <w:p>
            <w:pPr>
              <w:spacing w:after="0"/>
              <w:rPr>
                <w:sz w:val="8"/>
                <w:szCs w:val="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7"/>
                <w:szCs w:val="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020" w:type="dxa"/>
            <w:vAlign w:val="bottom"/>
          </w:tcPr>
          <w:p>
            <w:pPr>
              <w:jc w:val="center"/>
              <w:spacing w:after="0"/>
              <w:rPr>
                <w:sz w:val="20"/>
                <w:szCs w:val="20"/>
                <w:color w:val="auto"/>
              </w:rPr>
            </w:pPr>
            <w:r>
              <w:rPr>
                <w:rFonts w:ascii="Arial" w:cs="Arial" w:eastAsia="Arial" w:hAnsi="Arial"/>
                <w:sz w:val="7"/>
                <w:szCs w:val="7"/>
                <w:color w:val="auto"/>
              </w:rPr>
              <w:t>4,030,529</w:t>
            </w:r>
          </w:p>
        </w:tc>
        <w:tc>
          <w:tcPr>
            <w:tcW w:w="80" w:type="dxa"/>
            <w:vAlign w:val="bottom"/>
          </w:tcPr>
          <w:p>
            <w:pPr>
              <w:spacing w:after="0"/>
              <w:rPr>
                <w:sz w:val="8"/>
                <w:szCs w:val="8"/>
                <w:color w:val="auto"/>
              </w:rPr>
            </w:pPr>
          </w:p>
        </w:tc>
        <w:tc>
          <w:tcPr>
            <w:tcW w:w="1020" w:type="dxa"/>
            <w:vAlign w:val="bottom"/>
          </w:tcPr>
          <w:p>
            <w:pPr>
              <w:jc w:val="center"/>
              <w:spacing w:after="0"/>
              <w:rPr>
                <w:sz w:val="20"/>
                <w:szCs w:val="20"/>
                <w:color w:val="auto"/>
              </w:rPr>
            </w:pPr>
            <w:r>
              <w:rPr>
                <w:rFonts w:ascii="Arial" w:cs="Arial" w:eastAsia="Arial" w:hAnsi="Arial"/>
                <w:sz w:val="7"/>
                <w:szCs w:val="7"/>
                <w:color w:val="auto"/>
              </w:rPr>
              <w:t>5,040,544</w:t>
            </w:r>
          </w:p>
        </w:tc>
        <w:tc>
          <w:tcPr>
            <w:tcW w:w="1120" w:type="dxa"/>
            <w:vAlign w:val="bottom"/>
            <w:gridSpan w:val="2"/>
          </w:tcPr>
          <w:p>
            <w:pPr>
              <w:jc w:val="right"/>
              <w:ind w:right="124"/>
              <w:spacing w:after="0"/>
              <w:rPr>
                <w:sz w:val="20"/>
                <w:szCs w:val="20"/>
                <w:color w:val="auto"/>
              </w:rPr>
            </w:pPr>
            <w:r>
              <w:rPr>
                <w:rFonts w:ascii="Arial" w:cs="Arial" w:eastAsia="Arial" w:hAnsi="Arial"/>
                <w:sz w:val="7"/>
                <w:szCs w:val="7"/>
                <w:color w:val="auto"/>
              </w:rPr>
              <w:t>1,103,978</w:t>
            </w:r>
          </w:p>
        </w:tc>
        <w:tc>
          <w:tcPr>
            <w:tcW w:w="80" w:type="dxa"/>
            <w:vAlign w:val="bottom"/>
          </w:tcPr>
          <w:p>
            <w:pPr>
              <w:spacing w:after="0"/>
              <w:rPr>
                <w:sz w:val="8"/>
                <w:szCs w:val="8"/>
                <w:color w:val="auto"/>
              </w:rPr>
            </w:pPr>
          </w:p>
        </w:tc>
        <w:tc>
          <w:tcPr>
            <w:tcW w:w="1020" w:type="dxa"/>
            <w:vAlign w:val="bottom"/>
          </w:tcPr>
          <w:p>
            <w:pPr>
              <w:jc w:val="right"/>
              <w:ind w:right="45"/>
              <w:spacing w:after="0"/>
              <w:rPr>
                <w:sz w:val="20"/>
                <w:szCs w:val="20"/>
                <w:color w:val="auto"/>
              </w:rPr>
            </w:pPr>
            <w:r>
              <w:rPr>
                <w:rFonts w:ascii="Arial" w:cs="Arial" w:eastAsia="Arial" w:hAnsi="Arial"/>
                <w:sz w:val="7"/>
                <w:szCs w:val="7"/>
                <w:color w:val="auto"/>
              </w:rPr>
              <w:t>806,179</w:t>
            </w:r>
          </w:p>
        </w:tc>
        <w:tc>
          <w:tcPr>
            <w:tcW w:w="80" w:type="dxa"/>
            <w:vAlign w:val="bottom"/>
          </w:tcPr>
          <w:p>
            <w:pPr>
              <w:spacing w:after="0"/>
              <w:rPr>
                <w:sz w:val="8"/>
                <w:szCs w:val="8"/>
                <w:color w:val="auto"/>
              </w:rPr>
            </w:pPr>
          </w:p>
        </w:tc>
        <w:tc>
          <w:tcPr>
            <w:tcW w:w="920" w:type="dxa"/>
            <w:vAlign w:val="bottom"/>
          </w:tcPr>
          <w:p>
            <w:pPr>
              <w:jc w:val="right"/>
              <w:ind w:right="104"/>
              <w:spacing w:after="0"/>
              <w:rPr>
                <w:sz w:val="20"/>
                <w:szCs w:val="20"/>
                <w:color w:val="auto"/>
              </w:rPr>
            </w:pPr>
            <w:r>
              <w:rPr>
                <w:rFonts w:ascii="Arial" w:cs="Arial" w:eastAsia="Arial" w:hAnsi="Arial"/>
                <w:sz w:val="7"/>
                <w:szCs w:val="7"/>
                <w:color w:val="auto"/>
              </w:rPr>
              <w:t>127.68</w:t>
            </w:r>
          </w:p>
        </w:tc>
        <w:tc>
          <w:tcPr>
            <w:tcW w:w="80" w:type="dxa"/>
            <w:vAlign w:val="bottom"/>
          </w:tcPr>
          <w:p>
            <w:pPr>
              <w:spacing w:after="0"/>
              <w:rPr>
                <w:sz w:val="8"/>
                <w:szCs w:val="8"/>
                <w:color w:val="auto"/>
              </w:rPr>
            </w:pPr>
          </w:p>
        </w:tc>
        <w:tc>
          <w:tcPr>
            <w:tcW w:w="940" w:type="dxa"/>
            <w:vAlign w:val="bottom"/>
          </w:tcPr>
          <w:p>
            <w:pPr>
              <w:jc w:val="right"/>
              <w:ind w:right="124"/>
              <w:spacing w:after="0"/>
              <w:rPr>
                <w:sz w:val="20"/>
                <w:szCs w:val="20"/>
                <w:color w:val="auto"/>
              </w:rPr>
            </w:pPr>
            <w:r>
              <w:rPr>
                <w:rFonts w:ascii="Arial" w:cs="Arial" w:eastAsia="Arial" w:hAnsi="Arial"/>
                <w:sz w:val="7"/>
                <w:szCs w:val="7"/>
                <w:color w:val="auto"/>
              </w:rPr>
              <w:t>110.48</w:t>
            </w:r>
          </w:p>
        </w:tc>
        <w:tc>
          <w:tcPr>
            <w:tcW w:w="80" w:type="dxa"/>
            <w:vAlign w:val="bottom"/>
          </w:tcPr>
          <w:p>
            <w:pPr>
              <w:spacing w:after="0"/>
              <w:rPr>
                <w:sz w:val="8"/>
                <w:szCs w:val="8"/>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104,107</w:t>
            </w:r>
          </w:p>
        </w:tc>
        <w:tc>
          <w:tcPr>
            <w:tcW w:w="80" w:type="dxa"/>
            <w:vAlign w:val="bottom"/>
          </w:tcPr>
          <w:p>
            <w:pPr>
              <w:spacing w:after="0"/>
              <w:rPr>
                <w:sz w:val="8"/>
                <w:szCs w:val="8"/>
                <w:color w:val="auto"/>
              </w:rPr>
            </w:pPr>
          </w:p>
        </w:tc>
        <w:tc>
          <w:tcPr>
            <w:tcW w:w="960" w:type="dxa"/>
            <w:vAlign w:val="bottom"/>
          </w:tcPr>
          <w:p>
            <w:pPr>
              <w:jc w:val="right"/>
              <w:ind w:right="124"/>
              <w:spacing w:after="0"/>
              <w:rPr>
                <w:sz w:val="20"/>
                <w:szCs w:val="20"/>
                <w:color w:val="auto"/>
              </w:rPr>
            </w:pPr>
            <w:r>
              <w:rPr>
                <w:rFonts w:ascii="Arial" w:cs="Arial" w:eastAsia="Arial" w:hAnsi="Arial"/>
                <w:sz w:val="7"/>
                <w:szCs w:val="7"/>
                <w:color w:val="auto"/>
              </w:rPr>
              <w:t>166,682</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540" w:type="dxa"/>
            <w:vAlign w:val="bottom"/>
            <w:shd w:val="clear" w:color="auto" w:fill="DBDBDB"/>
          </w:tcPr>
          <w:p>
            <w:pPr>
              <w:jc w:val="center"/>
              <w:spacing w:after="0"/>
              <w:rPr>
                <w:sz w:val="20"/>
                <w:szCs w:val="20"/>
                <w:color w:val="auto"/>
              </w:rPr>
            </w:pPr>
            <w:r>
              <w:rPr>
                <w:rFonts w:ascii="Arial" w:cs="Arial" w:eastAsia="Arial" w:hAnsi="Arial"/>
                <w:sz w:val="7"/>
                <w:szCs w:val="7"/>
                <w:color w:val="auto"/>
              </w:rPr>
              <w:t>2022</w:t>
            </w:r>
          </w:p>
        </w:tc>
        <w:tc>
          <w:tcPr>
            <w:tcW w:w="80" w:type="dxa"/>
            <w:vAlign w:val="bottom"/>
            <w:shd w:val="clear" w:color="auto" w:fill="DBDBDB"/>
          </w:tcPr>
          <w:p>
            <w:pPr>
              <w:spacing w:after="0"/>
              <w:rPr>
                <w:sz w:val="8"/>
                <w:szCs w:val="8"/>
                <w:color w:val="auto"/>
              </w:rPr>
            </w:pPr>
          </w:p>
        </w:tc>
        <w:tc>
          <w:tcPr>
            <w:tcW w:w="1360" w:type="dxa"/>
            <w:vAlign w:val="bottom"/>
            <w:gridSpan w:val="3"/>
            <w:shd w:val="clear" w:color="auto" w:fill="DBDBDB"/>
          </w:tcPr>
          <w:p>
            <w:pPr>
              <w:jc w:val="right"/>
              <w:ind w:right="560"/>
              <w:spacing w:after="0"/>
              <w:rPr>
                <w:sz w:val="20"/>
                <w:szCs w:val="20"/>
                <w:color w:val="auto"/>
              </w:rPr>
            </w:pPr>
            <w:r>
              <w:rPr>
                <w:rFonts w:ascii="Arial" w:cs="Arial" w:eastAsia="Arial" w:hAnsi="Arial"/>
                <w:sz w:val="7"/>
                <w:szCs w:val="7"/>
                <w:color w:val="auto"/>
              </w:rPr>
              <w:t>—</w:t>
            </w:r>
          </w:p>
        </w:tc>
        <w:tc>
          <w:tcPr>
            <w:tcW w:w="820" w:type="dxa"/>
            <w:vAlign w:val="bottom"/>
            <w:gridSpan w:val="2"/>
            <w:shd w:val="clear" w:color="auto" w:fill="DBDBDB"/>
          </w:tcPr>
          <w:p>
            <w:pPr>
              <w:jc w:val="right"/>
              <w:ind w:right="240"/>
              <w:spacing w:after="0"/>
              <w:rPr>
                <w:sz w:val="20"/>
                <w:szCs w:val="20"/>
                <w:color w:val="auto"/>
              </w:rPr>
            </w:pPr>
            <w:r>
              <w:rPr>
                <w:rFonts w:ascii="Arial" w:cs="Arial" w:eastAsia="Arial" w:hAnsi="Arial"/>
                <w:sz w:val="7"/>
                <w:szCs w:val="7"/>
                <w:color w:val="auto"/>
              </w:rPr>
              <w:t>—</w:t>
            </w:r>
          </w:p>
        </w:tc>
        <w:tc>
          <w:tcPr>
            <w:tcW w:w="1020" w:type="dxa"/>
            <w:vAlign w:val="bottom"/>
            <w:shd w:val="clear" w:color="auto" w:fill="DBDBDB"/>
          </w:tcPr>
          <w:p>
            <w:pPr>
              <w:jc w:val="right"/>
              <w:ind w:right="44"/>
              <w:spacing w:after="0"/>
              <w:rPr>
                <w:sz w:val="20"/>
                <w:szCs w:val="20"/>
                <w:color w:val="auto"/>
              </w:rPr>
            </w:pPr>
            <w:r>
              <w:rPr>
                <w:rFonts w:ascii="Arial" w:cs="Arial" w:eastAsia="Arial" w:hAnsi="Arial"/>
                <w:sz w:val="7"/>
                <w:szCs w:val="7"/>
                <w:color w:val="auto"/>
              </w:rPr>
              <w:t>3,199,648</w:t>
            </w:r>
          </w:p>
        </w:tc>
        <w:tc>
          <w:tcPr>
            <w:tcW w:w="80" w:type="dxa"/>
            <w:vAlign w:val="bottom"/>
            <w:shd w:val="clear" w:color="auto" w:fill="DBDBDB"/>
          </w:tcPr>
          <w:p>
            <w:pPr>
              <w:spacing w:after="0"/>
              <w:rPr>
                <w:sz w:val="8"/>
                <w:szCs w:val="8"/>
                <w:color w:val="auto"/>
              </w:rPr>
            </w:pPr>
          </w:p>
        </w:tc>
        <w:tc>
          <w:tcPr>
            <w:tcW w:w="1020" w:type="dxa"/>
            <w:vAlign w:val="bottom"/>
            <w:shd w:val="clear" w:color="auto" w:fill="DBDBDB"/>
          </w:tcPr>
          <w:p>
            <w:pPr>
              <w:jc w:val="right"/>
              <w:ind w:right="45"/>
              <w:spacing w:after="0"/>
              <w:rPr>
                <w:sz w:val="20"/>
                <w:szCs w:val="20"/>
                <w:color w:val="auto"/>
              </w:rPr>
            </w:pPr>
            <w:r>
              <w:rPr>
                <w:rFonts w:ascii="Arial" w:cs="Arial" w:eastAsia="Arial" w:hAnsi="Arial"/>
                <w:sz w:val="7"/>
                <w:szCs w:val="7"/>
                <w:color w:val="auto"/>
              </w:rPr>
              <w:t>4,021,469</w:t>
            </w:r>
          </w:p>
        </w:tc>
        <w:tc>
          <w:tcPr>
            <w:tcW w:w="1120" w:type="dxa"/>
            <w:vAlign w:val="bottom"/>
            <w:gridSpan w:val="2"/>
            <w:shd w:val="clear" w:color="auto" w:fill="DBDBDB"/>
          </w:tcPr>
          <w:p>
            <w:pPr>
              <w:jc w:val="right"/>
              <w:ind w:right="124"/>
              <w:spacing w:after="0"/>
              <w:rPr>
                <w:sz w:val="20"/>
                <w:szCs w:val="20"/>
                <w:color w:val="auto"/>
              </w:rPr>
            </w:pPr>
            <w:r>
              <w:rPr>
                <w:rFonts w:ascii="Arial" w:cs="Arial" w:eastAsia="Arial" w:hAnsi="Arial"/>
                <w:sz w:val="7"/>
                <w:szCs w:val="7"/>
                <w:color w:val="auto"/>
              </w:rPr>
              <w:t>1,162,101</w:t>
            </w:r>
          </w:p>
        </w:tc>
        <w:tc>
          <w:tcPr>
            <w:tcW w:w="80" w:type="dxa"/>
            <w:vAlign w:val="bottom"/>
            <w:shd w:val="clear" w:color="auto" w:fill="DBDBDB"/>
          </w:tcPr>
          <w:p>
            <w:pPr>
              <w:spacing w:after="0"/>
              <w:rPr>
                <w:sz w:val="8"/>
                <w:szCs w:val="8"/>
                <w:color w:val="auto"/>
              </w:rPr>
            </w:pPr>
          </w:p>
        </w:tc>
        <w:tc>
          <w:tcPr>
            <w:tcW w:w="1020" w:type="dxa"/>
            <w:vAlign w:val="bottom"/>
            <w:shd w:val="clear" w:color="auto" w:fill="DBDBDB"/>
          </w:tcPr>
          <w:p>
            <w:pPr>
              <w:jc w:val="right"/>
              <w:ind w:right="45"/>
              <w:spacing w:after="0"/>
              <w:rPr>
                <w:sz w:val="20"/>
                <w:szCs w:val="20"/>
                <w:color w:val="auto"/>
              </w:rPr>
            </w:pPr>
            <w:r>
              <w:rPr>
                <w:rFonts w:ascii="Arial" w:cs="Arial" w:eastAsia="Arial" w:hAnsi="Arial"/>
                <w:sz w:val="7"/>
                <w:szCs w:val="7"/>
                <w:color w:val="auto"/>
              </w:rPr>
              <w:t>1,433,330</w:t>
            </w:r>
          </w:p>
        </w:tc>
        <w:tc>
          <w:tcPr>
            <w:tcW w:w="80" w:type="dxa"/>
            <w:vAlign w:val="bottom"/>
            <w:shd w:val="clear" w:color="auto" w:fill="DBDBDB"/>
          </w:tcPr>
          <w:p>
            <w:pPr>
              <w:spacing w:after="0"/>
              <w:rPr>
                <w:sz w:val="8"/>
                <w:szCs w:val="8"/>
                <w:color w:val="auto"/>
              </w:rPr>
            </w:pPr>
          </w:p>
        </w:tc>
        <w:tc>
          <w:tcPr>
            <w:tcW w:w="920" w:type="dxa"/>
            <w:vAlign w:val="bottom"/>
            <w:shd w:val="clear" w:color="auto" w:fill="DBDBDB"/>
          </w:tcPr>
          <w:p>
            <w:pPr>
              <w:jc w:val="right"/>
              <w:ind w:right="104"/>
              <w:spacing w:after="0"/>
              <w:rPr>
                <w:sz w:val="20"/>
                <w:szCs w:val="20"/>
                <w:color w:val="auto"/>
              </w:rPr>
            </w:pPr>
            <w:r>
              <w:rPr>
                <w:rFonts w:ascii="Arial" w:cs="Arial" w:eastAsia="Arial" w:hAnsi="Arial"/>
                <w:sz w:val="7"/>
                <w:szCs w:val="7"/>
                <w:color w:val="auto"/>
              </w:rPr>
              <w:t>124.12</w:t>
            </w:r>
          </w:p>
        </w:tc>
        <w:tc>
          <w:tcPr>
            <w:tcW w:w="80" w:type="dxa"/>
            <w:vAlign w:val="bottom"/>
            <w:shd w:val="clear" w:color="auto" w:fill="DBDBDB"/>
          </w:tcPr>
          <w:p>
            <w:pPr>
              <w:spacing w:after="0"/>
              <w:rPr>
                <w:sz w:val="8"/>
                <w:szCs w:val="8"/>
                <w:color w:val="auto"/>
              </w:rPr>
            </w:pPr>
          </w:p>
        </w:tc>
        <w:tc>
          <w:tcPr>
            <w:tcW w:w="940" w:type="dxa"/>
            <w:vAlign w:val="bottom"/>
            <w:shd w:val="clear" w:color="auto" w:fill="DBDBDB"/>
          </w:tcPr>
          <w:p>
            <w:pPr>
              <w:jc w:val="right"/>
              <w:ind w:right="124"/>
              <w:spacing w:after="0"/>
              <w:rPr>
                <w:sz w:val="20"/>
                <w:szCs w:val="20"/>
                <w:color w:val="auto"/>
              </w:rPr>
            </w:pPr>
            <w:r>
              <w:rPr>
                <w:rFonts w:ascii="Arial" w:cs="Arial" w:eastAsia="Arial" w:hAnsi="Arial"/>
                <w:sz w:val="7"/>
                <w:szCs w:val="7"/>
                <w:color w:val="auto"/>
              </w:rPr>
              <w:t>101.76</w:t>
            </w:r>
          </w:p>
        </w:tc>
        <w:tc>
          <w:tcPr>
            <w:tcW w:w="80" w:type="dxa"/>
            <w:vAlign w:val="bottom"/>
            <w:shd w:val="clear" w:color="auto" w:fill="DBDBDB"/>
          </w:tcPr>
          <w:p>
            <w:pPr>
              <w:spacing w:after="0"/>
              <w:rPr>
                <w:sz w:val="8"/>
                <w:szCs w:val="8"/>
                <w:color w:val="auto"/>
              </w:rPr>
            </w:pPr>
          </w:p>
        </w:tc>
        <w:tc>
          <w:tcPr>
            <w:tcW w:w="840" w:type="dxa"/>
            <w:vAlign w:val="bottom"/>
            <w:shd w:val="clear" w:color="auto" w:fill="DBDBDB"/>
          </w:tcPr>
          <w:p>
            <w:pPr>
              <w:jc w:val="right"/>
              <w:ind w:right="64"/>
              <w:spacing w:after="0"/>
              <w:rPr>
                <w:sz w:val="20"/>
                <w:szCs w:val="20"/>
                <w:color w:val="auto"/>
              </w:rPr>
            </w:pPr>
            <w:r>
              <w:rPr>
                <w:rFonts w:ascii="Arial" w:cs="Arial" w:eastAsia="Arial" w:hAnsi="Arial"/>
                <w:sz w:val="7"/>
                <w:szCs w:val="7"/>
                <w:color w:val="auto"/>
              </w:rPr>
              <w:t>3,486</w:t>
            </w:r>
          </w:p>
        </w:tc>
        <w:tc>
          <w:tcPr>
            <w:tcW w:w="80" w:type="dxa"/>
            <w:vAlign w:val="bottom"/>
            <w:shd w:val="clear" w:color="auto" w:fill="DBDBDB"/>
          </w:tcPr>
          <w:p>
            <w:pPr>
              <w:spacing w:after="0"/>
              <w:rPr>
                <w:sz w:val="8"/>
                <w:szCs w:val="8"/>
                <w:color w:val="auto"/>
              </w:rPr>
            </w:pPr>
          </w:p>
        </w:tc>
        <w:tc>
          <w:tcPr>
            <w:tcW w:w="960" w:type="dxa"/>
            <w:vAlign w:val="bottom"/>
            <w:shd w:val="clear" w:color="auto" w:fill="DBDBDB"/>
          </w:tcPr>
          <w:p>
            <w:pPr>
              <w:jc w:val="right"/>
              <w:ind w:right="124"/>
              <w:spacing w:after="0"/>
              <w:rPr>
                <w:sz w:val="20"/>
                <w:szCs w:val="20"/>
                <w:color w:val="auto"/>
              </w:rPr>
            </w:pPr>
            <w:r>
              <w:rPr>
                <w:rFonts w:ascii="Arial" w:cs="Arial" w:eastAsia="Arial" w:hAnsi="Arial"/>
                <w:sz w:val="7"/>
                <w:szCs w:val="7"/>
                <w:color w:val="auto"/>
              </w:rPr>
              <w:t>131,518</w:t>
            </w:r>
          </w:p>
        </w:tc>
        <w:tc>
          <w:tcPr>
            <w:tcW w:w="0" w:type="dxa"/>
            <w:vAlign w:val="bottom"/>
          </w:tcPr>
          <w:p>
            <w:pPr>
              <w:spacing w:after="0"/>
              <w:rPr>
                <w:sz w:val="1"/>
                <w:szCs w:val="1"/>
                <w:color w:val="auto"/>
              </w:rPr>
            </w:pPr>
          </w:p>
        </w:tc>
      </w:tr>
      <w:tr>
        <w:trPr>
          <w:trHeight w:val="23"/>
        </w:trPr>
        <w:tc>
          <w:tcPr>
            <w:tcW w:w="5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78" w:lineRule="exact"/>
        <w:rPr>
          <w:sz w:val="20"/>
          <w:szCs w:val="20"/>
          <w:color w:val="auto"/>
        </w:rPr>
      </w:pPr>
    </w:p>
    <w:p>
      <w:pPr>
        <w:ind w:left="328" w:hanging="328"/>
        <w:spacing w:after="0"/>
        <w:tabs>
          <w:tab w:leader="none" w:pos="328" w:val="left"/>
        </w:tabs>
        <w:numPr>
          <w:ilvl w:val="0"/>
          <w:numId w:val="64"/>
        </w:numPr>
        <w:rPr>
          <w:rFonts w:ascii="Arial" w:cs="Arial" w:eastAsia="Arial" w:hAnsi="Arial"/>
          <w:sz w:val="8"/>
          <w:szCs w:val="8"/>
          <w:color w:val="auto"/>
        </w:rPr>
      </w:pPr>
      <w:r>
        <w:rPr>
          <w:rFonts w:ascii="Arial" w:cs="Arial" w:eastAsia="Arial" w:hAnsi="Arial"/>
          <w:sz w:val="8"/>
          <w:szCs w:val="8"/>
          <w:color w:val="auto"/>
        </w:rPr>
        <w:t>Donald A. Nolan became President and Chief Executive Officer effective as of the close of business on October 31, 2025.</w:t>
      </w:r>
    </w:p>
    <w:p>
      <w:pPr>
        <w:spacing w:after="0" w:line="79" w:lineRule="exact"/>
        <w:rPr>
          <w:rFonts w:ascii="Arial" w:cs="Arial" w:eastAsia="Arial" w:hAnsi="Arial"/>
          <w:sz w:val="8"/>
          <w:szCs w:val="8"/>
          <w:color w:val="auto"/>
        </w:rPr>
      </w:pPr>
    </w:p>
    <w:p>
      <w:pPr>
        <w:ind w:left="328" w:hanging="328"/>
        <w:spacing w:after="0"/>
        <w:tabs>
          <w:tab w:leader="none" w:pos="328" w:val="left"/>
        </w:tabs>
        <w:numPr>
          <w:ilvl w:val="0"/>
          <w:numId w:val="64"/>
        </w:numPr>
        <w:rPr>
          <w:rFonts w:ascii="Arial" w:cs="Arial" w:eastAsia="Arial" w:hAnsi="Arial"/>
          <w:sz w:val="8"/>
          <w:szCs w:val="8"/>
          <w:color w:val="auto"/>
        </w:rPr>
      </w:pPr>
      <w:r>
        <w:rPr>
          <w:rFonts w:ascii="Arial" w:cs="Arial" w:eastAsia="Arial" w:hAnsi="Arial"/>
          <w:sz w:val="8"/>
          <w:szCs w:val="8"/>
          <w:color w:val="auto"/>
        </w:rPr>
        <w:t>Ty R. Silberhorn served as Chief Executive Officer and President from January 4, 2021 through October 31, 2025.</w:t>
      </w:r>
    </w:p>
    <w:p>
      <w:pPr>
        <w:spacing w:after="0" w:line="79" w:lineRule="exact"/>
        <w:rPr>
          <w:rFonts w:ascii="Arial" w:cs="Arial" w:eastAsia="Arial" w:hAnsi="Arial"/>
          <w:sz w:val="8"/>
          <w:szCs w:val="8"/>
          <w:color w:val="auto"/>
        </w:rPr>
      </w:pPr>
    </w:p>
    <w:p>
      <w:pPr>
        <w:ind w:left="328" w:hanging="328"/>
        <w:spacing w:after="0"/>
        <w:tabs>
          <w:tab w:leader="none" w:pos="328" w:val="left"/>
        </w:tabs>
        <w:numPr>
          <w:ilvl w:val="0"/>
          <w:numId w:val="64"/>
        </w:numPr>
        <w:rPr>
          <w:rFonts w:ascii="Arial" w:cs="Arial" w:eastAsia="Arial" w:hAnsi="Arial"/>
          <w:sz w:val="8"/>
          <w:szCs w:val="8"/>
          <w:color w:val="auto"/>
        </w:rPr>
      </w:pPr>
      <w:r>
        <w:rPr>
          <w:rFonts w:ascii="Arial" w:cs="Arial" w:eastAsia="Arial" w:hAnsi="Arial"/>
          <w:sz w:val="8"/>
          <w:szCs w:val="8"/>
          <w:color w:val="auto"/>
        </w:rPr>
        <w:t>The following table lists the individuals who comprise the Non-PEO NEOs in each of the covered years:</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12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98"/>
              </w:rPr>
              <w:t>2026</w:t>
            </w:r>
          </w:p>
        </w:tc>
        <w:tc>
          <w:tcPr>
            <w:tcW w:w="80" w:type="dxa"/>
            <w:vAlign w:val="bottom"/>
            <w:tcBorders>
              <w:bottom w:val="single" w:sz="8" w:color="DBDBDB"/>
            </w:tcBorders>
          </w:tcPr>
          <w:p>
            <w:pPr>
              <w:spacing w:after="0"/>
              <w:rPr>
                <w:sz w:val="11"/>
                <w:szCs w:val="11"/>
                <w:color w:val="auto"/>
              </w:rPr>
            </w:pPr>
          </w:p>
        </w:tc>
        <w:tc>
          <w:tcPr>
            <w:tcW w:w="210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98"/>
              </w:rPr>
              <w:t>2025</w:t>
            </w:r>
          </w:p>
        </w:tc>
        <w:tc>
          <w:tcPr>
            <w:tcW w:w="80" w:type="dxa"/>
            <w:vAlign w:val="bottom"/>
            <w:tcBorders>
              <w:bottom w:val="single" w:sz="8" w:color="DBDBDB"/>
            </w:tcBorders>
          </w:tcPr>
          <w:p>
            <w:pPr>
              <w:spacing w:after="0"/>
              <w:rPr>
                <w:sz w:val="11"/>
                <w:szCs w:val="11"/>
                <w:color w:val="auto"/>
              </w:rPr>
            </w:pPr>
          </w:p>
        </w:tc>
        <w:tc>
          <w:tcPr>
            <w:tcW w:w="226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98"/>
              </w:rPr>
              <w:t>2024</w:t>
            </w:r>
          </w:p>
        </w:tc>
        <w:tc>
          <w:tcPr>
            <w:tcW w:w="80" w:type="dxa"/>
            <w:vAlign w:val="bottom"/>
            <w:tcBorders>
              <w:bottom w:val="single" w:sz="8" w:color="DBDBDB"/>
            </w:tcBorders>
          </w:tcPr>
          <w:p>
            <w:pPr>
              <w:spacing w:after="0"/>
              <w:rPr>
                <w:sz w:val="11"/>
                <w:szCs w:val="11"/>
                <w:color w:val="auto"/>
              </w:rPr>
            </w:pPr>
          </w:p>
        </w:tc>
        <w:tc>
          <w:tcPr>
            <w:tcW w:w="210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98"/>
              </w:rPr>
              <w:t>2023</w:t>
            </w:r>
          </w:p>
        </w:tc>
        <w:tc>
          <w:tcPr>
            <w:tcW w:w="80" w:type="dxa"/>
            <w:vAlign w:val="bottom"/>
            <w:tcBorders>
              <w:bottom w:val="single" w:sz="8" w:color="DBDBDB"/>
            </w:tcBorders>
          </w:tcPr>
          <w:p>
            <w:pPr>
              <w:spacing w:after="0"/>
              <w:rPr>
                <w:sz w:val="11"/>
                <w:szCs w:val="11"/>
                <w:color w:val="auto"/>
              </w:rPr>
            </w:pPr>
          </w:p>
        </w:tc>
        <w:tc>
          <w:tcPr>
            <w:tcW w:w="2260" w:type="dxa"/>
            <w:vAlign w:val="bottom"/>
            <w:tcBorders>
              <w:bottom w:val="single" w:sz="8" w:color="929292"/>
            </w:tcBorders>
          </w:tcPr>
          <w:p>
            <w:pPr>
              <w:jc w:val="center"/>
              <w:spacing w:after="0"/>
              <w:rPr>
                <w:sz w:val="20"/>
                <w:szCs w:val="20"/>
                <w:color w:val="auto"/>
              </w:rPr>
            </w:pPr>
            <w:r>
              <w:rPr>
                <w:rFonts w:ascii="Arial" w:cs="Arial" w:eastAsia="Arial" w:hAnsi="Arial"/>
                <w:sz w:val="10"/>
                <w:szCs w:val="10"/>
                <w:b w:val="1"/>
                <w:bCs w:val="1"/>
                <w:color w:val="05445E"/>
                <w:w w:val="98"/>
              </w:rPr>
              <w:t>2022</w:t>
            </w:r>
          </w:p>
        </w:tc>
      </w:tr>
      <w:tr>
        <w:trPr>
          <w:trHeight w:val="148"/>
        </w:trPr>
        <w:tc>
          <w:tcPr>
            <w:tcW w:w="220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6"/>
              </w:rPr>
              <w:t>Mark R. Augdahl</w:t>
            </w:r>
          </w:p>
        </w:tc>
        <w:tc>
          <w:tcPr>
            <w:tcW w:w="2180" w:type="dxa"/>
            <w:vAlign w:val="bottom"/>
            <w:gridSpan w:val="2"/>
            <w:shd w:val="clear" w:color="auto" w:fill="DBDBDB"/>
          </w:tcPr>
          <w:p>
            <w:pPr>
              <w:jc w:val="center"/>
              <w:ind w:right="100"/>
              <w:spacing w:after="0"/>
              <w:rPr>
                <w:sz w:val="20"/>
                <w:szCs w:val="20"/>
                <w:color w:val="auto"/>
              </w:rPr>
            </w:pPr>
            <w:r>
              <w:rPr>
                <w:rFonts w:ascii="Arial" w:cs="Arial" w:eastAsia="Arial" w:hAnsi="Arial"/>
                <w:sz w:val="10"/>
                <w:szCs w:val="10"/>
                <w:color w:val="auto"/>
                <w:w w:val="95"/>
              </w:rPr>
              <w:t>Matthew J. Osberg</w:t>
            </w:r>
          </w:p>
        </w:tc>
        <w:tc>
          <w:tcPr>
            <w:tcW w:w="234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7"/>
              </w:rPr>
              <w:t>Matthew J. Osberg</w:t>
            </w:r>
          </w:p>
        </w:tc>
        <w:tc>
          <w:tcPr>
            <w:tcW w:w="218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3"/>
              </w:rPr>
              <w:t>Mark R. Augdahl</w:t>
            </w:r>
          </w:p>
        </w:tc>
        <w:tc>
          <w:tcPr>
            <w:tcW w:w="226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6"/>
              </w:rPr>
              <w:t>Nisheet Gupta</w:t>
            </w:r>
          </w:p>
        </w:tc>
      </w:tr>
      <w:tr>
        <w:trPr>
          <w:trHeight w:val="145"/>
        </w:trPr>
        <w:tc>
          <w:tcPr>
            <w:tcW w:w="2200" w:type="dxa"/>
            <w:vAlign w:val="bottom"/>
            <w:gridSpan w:val="2"/>
          </w:tcPr>
          <w:p>
            <w:pPr>
              <w:jc w:val="center"/>
              <w:ind w:right="100"/>
              <w:spacing w:after="0"/>
              <w:rPr>
                <w:sz w:val="20"/>
                <w:szCs w:val="20"/>
                <w:color w:val="auto"/>
              </w:rPr>
            </w:pPr>
            <w:r>
              <w:rPr>
                <w:rFonts w:ascii="Arial" w:cs="Arial" w:eastAsia="Arial" w:hAnsi="Arial"/>
                <w:sz w:val="10"/>
                <w:szCs w:val="10"/>
                <w:color w:val="auto"/>
                <w:w w:val="95"/>
              </w:rPr>
              <w:t>Troy R. Johnson</w:t>
            </w:r>
          </w:p>
        </w:tc>
        <w:tc>
          <w:tcPr>
            <w:tcW w:w="2180" w:type="dxa"/>
            <w:vAlign w:val="bottom"/>
            <w:gridSpan w:val="2"/>
          </w:tcPr>
          <w:p>
            <w:pPr>
              <w:jc w:val="center"/>
              <w:ind w:right="100"/>
              <w:spacing w:after="0"/>
              <w:rPr>
                <w:sz w:val="20"/>
                <w:szCs w:val="20"/>
                <w:color w:val="auto"/>
              </w:rPr>
            </w:pPr>
            <w:r>
              <w:rPr>
                <w:rFonts w:ascii="Arial" w:cs="Arial" w:eastAsia="Arial" w:hAnsi="Arial"/>
                <w:sz w:val="10"/>
                <w:szCs w:val="10"/>
                <w:color w:val="auto"/>
                <w:w w:val="95"/>
              </w:rPr>
              <w:t>Brent C. Jewell</w:t>
            </w:r>
          </w:p>
        </w:tc>
        <w:tc>
          <w:tcPr>
            <w:tcW w:w="234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Nicholas C. Longman</w:t>
            </w:r>
          </w:p>
        </w:tc>
        <w:tc>
          <w:tcPr>
            <w:tcW w:w="218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Curtis J. Dobler</w:t>
            </w:r>
          </w:p>
        </w:tc>
        <w:tc>
          <w:tcPr>
            <w:tcW w:w="2260" w:type="dxa"/>
            <w:vAlign w:val="bottom"/>
          </w:tcPr>
          <w:p>
            <w:pPr>
              <w:jc w:val="center"/>
              <w:spacing w:after="0"/>
              <w:rPr>
                <w:sz w:val="20"/>
                <w:szCs w:val="20"/>
                <w:color w:val="auto"/>
              </w:rPr>
            </w:pPr>
            <w:r>
              <w:rPr>
                <w:rFonts w:ascii="Arial" w:cs="Arial" w:eastAsia="Arial" w:hAnsi="Arial"/>
                <w:sz w:val="10"/>
                <w:szCs w:val="10"/>
                <w:color w:val="auto"/>
                <w:w w:val="95"/>
              </w:rPr>
              <w:t>Curtis J. Dobler</w:t>
            </w:r>
          </w:p>
        </w:tc>
      </w:tr>
      <w:tr>
        <w:trPr>
          <w:trHeight w:val="160"/>
        </w:trPr>
        <w:tc>
          <w:tcPr>
            <w:tcW w:w="2200" w:type="dxa"/>
            <w:vAlign w:val="bottom"/>
            <w:gridSpan w:val="2"/>
            <w:shd w:val="clear" w:color="auto" w:fill="DBDBDB"/>
          </w:tcPr>
          <w:p>
            <w:pPr>
              <w:jc w:val="center"/>
              <w:ind w:right="100"/>
              <w:spacing w:after="0"/>
              <w:rPr>
                <w:sz w:val="20"/>
                <w:szCs w:val="20"/>
                <w:color w:val="auto"/>
              </w:rPr>
            </w:pPr>
            <w:r>
              <w:rPr>
                <w:rFonts w:ascii="Arial" w:cs="Arial" w:eastAsia="Arial" w:hAnsi="Arial"/>
                <w:sz w:val="10"/>
                <w:szCs w:val="10"/>
                <w:color w:val="auto"/>
                <w:w w:val="95"/>
              </w:rPr>
              <w:t>Veena M. Lakkundi</w:t>
            </w:r>
          </w:p>
        </w:tc>
        <w:tc>
          <w:tcPr>
            <w:tcW w:w="218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5"/>
              </w:rPr>
              <w:t>Troy R. Johnson</w:t>
            </w:r>
          </w:p>
        </w:tc>
        <w:tc>
          <w:tcPr>
            <w:tcW w:w="234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5"/>
              </w:rPr>
              <w:t>Curtis J. Dobler</w:t>
            </w:r>
          </w:p>
        </w:tc>
        <w:tc>
          <w:tcPr>
            <w:tcW w:w="2180" w:type="dxa"/>
            <w:vAlign w:val="bottom"/>
            <w:gridSpan w:val="2"/>
            <w:shd w:val="clear" w:color="auto" w:fill="DBDBDB"/>
          </w:tcPr>
          <w:p>
            <w:pPr>
              <w:jc w:val="center"/>
              <w:ind w:right="60"/>
              <w:spacing w:after="0"/>
              <w:rPr>
                <w:sz w:val="20"/>
                <w:szCs w:val="20"/>
                <w:color w:val="auto"/>
              </w:rPr>
            </w:pPr>
            <w:r>
              <w:rPr>
                <w:rFonts w:ascii="Arial" w:cs="Arial" w:eastAsia="Arial" w:hAnsi="Arial"/>
                <w:sz w:val="10"/>
                <w:szCs w:val="10"/>
                <w:color w:val="auto"/>
                <w:w w:val="95"/>
              </w:rPr>
              <w:t>Brent C. Jewell</w:t>
            </w:r>
          </w:p>
        </w:tc>
        <w:tc>
          <w:tcPr>
            <w:tcW w:w="226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Brent C. Jewell</w:t>
            </w:r>
          </w:p>
        </w:tc>
      </w:tr>
      <w:tr>
        <w:trPr>
          <w:trHeight w:val="145"/>
        </w:trPr>
        <w:tc>
          <w:tcPr>
            <w:tcW w:w="220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Brent C. Jewell</w:t>
            </w:r>
          </w:p>
        </w:tc>
        <w:tc>
          <w:tcPr>
            <w:tcW w:w="218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Raelyn A. Trende</w:t>
            </w:r>
          </w:p>
        </w:tc>
        <w:tc>
          <w:tcPr>
            <w:tcW w:w="2340" w:type="dxa"/>
            <w:vAlign w:val="bottom"/>
            <w:gridSpan w:val="2"/>
          </w:tcPr>
          <w:p>
            <w:pPr>
              <w:jc w:val="center"/>
              <w:ind w:right="80"/>
              <w:spacing w:after="0"/>
              <w:rPr>
                <w:sz w:val="20"/>
                <w:szCs w:val="20"/>
                <w:color w:val="auto"/>
              </w:rPr>
            </w:pPr>
            <w:r>
              <w:rPr>
                <w:rFonts w:ascii="Arial" w:cs="Arial" w:eastAsia="Arial" w:hAnsi="Arial"/>
                <w:sz w:val="10"/>
                <w:szCs w:val="10"/>
                <w:color w:val="auto"/>
                <w:w w:val="98"/>
              </w:rPr>
              <w:t>Brent C. Jewell</w:t>
            </w:r>
          </w:p>
        </w:tc>
        <w:tc>
          <w:tcPr>
            <w:tcW w:w="2180" w:type="dxa"/>
            <w:vAlign w:val="bottom"/>
            <w:gridSpan w:val="2"/>
          </w:tcPr>
          <w:p>
            <w:pPr>
              <w:jc w:val="center"/>
              <w:ind w:right="60"/>
              <w:spacing w:after="0"/>
              <w:rPr>
                <w:sz w:val="20"/>
                <w:szCs w:val="20"/>
                <w:color w:val="auto"/>
              </w:rPr>
            </w:pPr>
            <w:r>
              <w:rPr>
                <w:rFonts w:ascii="Arial" w:cs="Arial" w:eastAsia="Arial" w:hAnsi="Arial"/>
                <w:sz w:val="10"/>
                <w:szCs w:val="10"/>
                <w:color w:val="auto"/>
                <w:w w:val="96"/>
              </w:rPr>
              <w:t>Nicholas C. Longman</w:t>
            </w:r>
          </w:p>
        </w:tc>
        <w:tc>
          <w:tcPr>
            <w:tcW w:w="2260" w:type="dxa"/>
            <w:vAlign w:val="bottom"/>
          </w:tcPr>
          <w:p>
            <w:pPr>
              <w:jc w:val="center"/>
              <w:spacing w:after="0"/>
              <w:rPr>
                <w:sz w:val="20"/>
                <w:szCs w:val="20"/>
                <w:color w:val="auto"/>
              </w:rPr>
            </w:pPr>
            <w:r>
              <w:rPr>
                <w:rFonts w:ascii="Arial" w:cs="Arial" w:eastAsia="Arial" w:hAnsi="Arial"/>
                <w:sz w:val="10"/>
                <w:szCs w:val="10"/>
                <w:color w:val="auto"/>
                <w:w w:val="95"/>
              </w:rPr>
              <w:t>Troy R. Johnson</w:t>
            </w:r>
          </w:p>
        </w:tc>
      </w:tr>
      <w:tr>
        <w:trPr>
          <w:trHeight w:val="160"/>
        </w:trPr>
        <w:tc>
          <w:tcPr>
            <w:tcW w:w="220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5"/>
              </w:rPr>
              <w:t>Matthew J. Osberg</w:t>
            </w:r>
          </w:p>
        </w:tc>
        <w:tc>
          <w:tcPr>
            <w:tcW w:w="2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34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3"/>
              </w:rPr>
              <w:t>Mark R. Augdahl</w:t>
            </w:r>
          </w:p>
        </w:tc>
        <w:tc>
          <w:tcPr>
            <w:tcW w:w="2180" w:type="dxa"/>
            <w:vAlign w:val="bottom"/>
            <w:gridSpan w:val="2"/>
            <w:shd w:val="clear" w:color="auto" w:fill="DBDBDB"/>
          </w:tcPr>
          <w:p>
            <w:pPr>
              <w:jc w:val="center"/>
              <w:ind w:right="80"/>
              <w:spacing w:after="0"/>
              <w:rPr>
                <w:sz w:val="20"/>
                <w:szCs w:val="20"/>
                <w:color w:val="auto"/>
              </w:rPr>
            </w:pPr>
            <w:r>
              <w:rPr>
                <w:rFonts w:ascii="Arial" w:cs="Arial" w:eastAsia="Arial" w:hAnsi="Arial"/>
                <w:sz w:val="10"/>
                <w:szCs w:val="10"/>
                <w:color w:val="auto"/>
                <w:w w:val="96"/>
              </w:rPr>
              <w:t>Nisheet Gupta</w:t>
            </w:r>
          </w:p>
        </w:tc>
        <w:tc>
          <w:tcPr>
            <w:tcW w:w="2260" w:type="dxa"/>
            <w:vAlign w:val="bottom"/>
            <w:shd w:val="clear" w:color="auto" w:fill="DBDBDB"/>
          </w:tcPr>
          <w:p>
            <w:pPr>
              <w:spacing w:after="0"/>
              <w:rPr>
                <w:sz w:val="13"/>
                <w:szCs w:val="13"/>
                <w:color w:val="auto"/>
              </w:rPr>
            </w:pPr>
          </w:p>
        </w:tc>
      </w:tr>
    </w:tbl>
    <w:p>
      <w:pPr>
        <w:spacing w:after="0" w:line="123" w:lineRule="exact"/>
        <w:rPr>
          <w:sz w:val="20"/>
          <w:szCs w:val="20"/>
          <w:color w:val="auto"/>
        </w:rPr>
      </w:pPr>
    </w:p>
    <w:p>
      <w:pPr>
        <w:ind w:left="328" w:hanging="328"/>
        <w:spacing w:after="0"/>
        <w:tabs>
          <w:tab w:leader="none" w:pos="328" w:val="left"/>
        </w:tabs>
        <w:numPr>
          <w:ilvl w:val="0"/>
          <w:numId w:val="65"/>
        </w:numPr>
        <w:rPr>
          <w:rFonts w:ascii="Arial" w:cs="Arial" w:eastAsia="Arial" w:hAnsi="Arial"/>
          <w:sz w:val="8"/>
          <w:szCs w:val="8"/>
          <w:color w:val="auto"/>
        </w:rPr>
      </w:pPr>
      <w:r>
        <w:rPr>
          <w:rFonts w:ascii="Arial" w:cs="Arial" w:eastAsia="Arial" w:hAnsi="Arial"/>
          <w:sz w:val="8"/>
          <w:szCs w:val="8"/>
          <w:color w:val="auto"/>
        </w:rPr>
        <w:t xml:space="preserve">The table below sets forth the amounts deducted from and added to the "Summary Compensation Table" beginning on page </w:t>
      </w:r>
      <w:r>
        <w:rPr>
          <w:rFonts w:ascii="Arial" w:cs="Arial" w:eastAsia="Arial" w:hAnsi="Arial"/>
          <w:sz w:val="8"/>
          <w:szCs w:val="8"/>
          <w:u w:val="single" w:color="auto"/>
          <w:color w:val="0000FF"/>
        </w:rPr>
        <w:t>53</w:t>
      </w:r>
      <w:r>
        <w:rPr>
          <w:rFonts w:ascii="Arial" w:cs="Arial" w:eastAsia="Arial" w:hAnsi="Arial"/>
          <w:sz w:val="8"/>
          <w:szCs w:val="8"/>
          <w:color w:val="auto"/>
        </w:rPr>
        <w:t xml:space="preserve"> total compensation to calculate CAP to Mr. Silberhorn and average CAP to the Non-PEOs for fiscal 2025.</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27" w:right="299" w:bottom="1440" w:gutter="0" w:footer="0" w:header="0"/>
        </w:sectPr>
      </w:pPr>
    </w:p>
    <w:bookmarkStart w:id="73" w:name="page74"/>
    <w:bookmarkEnd w:id="73"/>
    <w:tbl>
      <w:tblPr>
        <w:tblLayout w:type="fixed"/>
        <w:tblInd w:w="8" w:type="dxa"/>
        <w:tblCellMar>
          <w:top w:w="0" w:type="dxa"/>
          <w:left w:w="0" w:type="dxa"/>
          <w:bottom w:w="0" w:type="dxa"/>
          <w:right w:w="0" w:type="dxa"/>
        </w:tblCellMar>
      </w:tblPr>
      <w:tr>
        <w:trPr>
          <w:trHeight w:val="105"/>
        </w:trPr>
        <w:tc>
          <w:tcPr>
            <w:tcW w:w="5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ind w:left="700"/>
              <w:spacing w:after="0"/>
              <w:rPr>
                <w:sz w:val="20"/>
                <w:szCs w:val="20"/>
                <w:color w:val="auto"/>
              </w:rPr>
            </w:pPr>
            <w:r>
              <w:rPr>
                <w:rFonts w:ascii="Arial" w:cs="Arial" w:eastAsia="Arial" w:hAnsi="Arial"/>
                <w:sz w:val="8"/>
                <w:szCs w:val="8"/>
                <w:b w:val="1"/>
                <w:bCs w:val="1"/>
                <w:color w:val="05445E"/>
              </w:rPr>
              <w:t>Current PEO</w:t>
            </w:r>
          </w:p>
        </w:tc>
        <w:tc>
          <w:tcPr>
            <w:tcW w:w="680" w:type="dxa"/>
            <w:vAlign w:val="bottom"/>
          </w:tcPr>
          <w:p>
            <w:pPr>
              <w:spacing w:after="0"/>
              <w:rPr>
                <w:sz w:val="9"/>
                <w:szCs w:val="9"/>
                <w:color w:val="auto"/>
              </w:rPr>
            </w:pPr>
          </w:p>
        </w:tc>
        <w:tc>
          <w:tcPr>
            <w:tcW w:w="80" w:type="dxa"/>
            <w:vAlign w:val="bottom"/>
            <w:tcBorders>
              <w:top w:val="single" w:sz="8" w:color="05445E"/>
            </w:tcBorders>
          </w:tcPr>
          <w:p>
            <w:pPr>
              <w:spacing w:after="0"/>
              <w:rPr>
                <w:sz w:val="9"/>
                <w:szCs w:val="9"/>
                <w:color w:val="auto"/>
              </w:rPr>
            </w:pPr>
          </w:p>
        </w:tc>
        <w:tc>
          <w:tcPr>
            <w:tcW w:w="2000" w:type="dxa"/>
            <w:vAlign w:val="bottom"/>
            <w:gridSpan w:val="2"/>
          </w:tcPr>
          <w:p>
            <w:pPr>
              <w:ind w:left="720"/>
              <w:spacing w:after="0"/>
              <w:rPr>
                <w:sz w:val="20"/>
                <w:szCs w:val="20"/>
                <w:color w:val="auto"/>
              </w:rPr>
            </w:pPr>
            <w:r>
              <w:rPr>
                <w:rFonts w:ascii="Arial" w:cs="Arial" w:eastAsia="Arial" w:hAnsi="Arial"/>
                <w:sz w:val="8"/>
                <w:szCs w:val="8"/>
                <w:b w:val="1"/>
                <w:bCs w:val="1"/>
                <w:color w:val="05445E"/>
              </w:rPr>
              <w:t>Former PEO</w:t>
            </w:r>
          </w:p>
        </w:tc>
        <w:tc>
          <w:tcPr>
            <w:tcW w:w="2080" w:type="dxa"/>
            <w:vAlign w:val="bottom"/>
          </w:tcPr>
          <w:p>
            <w:pPr>
              <w:jc w:val="right"/>
              <w:ind w:right="458"/>
              <w:spacing w:after="0"/>
              <w:rPr>
                <w:sz w:val="20"/>
                <w:szCs w:val="20"/>
                <w:color w:val="auto"/>
              </w:rPr>
            </w:pPr>
            <w:r>
              <w:rPr>
                <w:rFonts w:ascii="Arial" w:cs="Arial" w:eastAsia="Arial" w:hAnsi="Arial"/>
                <w:sz w:val="8"/>
                <w:szCs w:val="8"/>
                <w:b w:val="1"/>
                <w:bCs w:val="1"/>
                <w:color w:val="05445E"/>
              </w:rPr>
              <w:t>Average of Non-PEO NEOs</w:t>
            </w:r>
          </w:p>
        </w:tc>
      </w:tr>
      <w:tr>
        <w:trPr>
          <w:trHeight w:val="121"/>
        </w:trPr>
        <w:tc>
          <w:tcPr>
            <w:tcW w:w="5160" w:type="dxa"/>
            <w:vAlign w:val="bottom"/>
            <w:tcBorders>
              <w:bottom w:val="single" w:sz="8" w:color="929292"/>
            </w:tcBorders>
          </w:tcPr>
          <w:p>
            <w:pPr>
              <w:spacing w:after="0"/>
              <w:rPr>
                <w:sz w:val="20"/>
                <w:szCs w:val="20"/>
                <w:color w:val="auto"/>
              </w:rPr>
            </w:pPr>
            <w:r>
              <w:rPr>
                <w:rFonts w:ascii="Arial" w:cs="Arial" w:eastAsia="Arial" w:hAnsi="Arial"/>
                <w:sz w:val="8"/>
                <w:szCs w:val="8"/>
                <w:b w:val="1"/>
                <w:bCs w:val="1"/>
                <w:color w:val="auto"/>
              </w:rPr>
              <w:t>Adjustments</w:t>
            </w:r>
          </w:p>
        </w:tc>
        <w:tc>
          <w:tcPr>
            <w:tcW w:w="80" w:type="dxa"/>
            <w:vAlign w:val="bottom"/>
            <w:tcBorders>
              <w:bottom w:val="single" w:sz="8" w:color="DBDBDB"/>
            </w:tcBorders>
          </w:tcPr>
          <w:p>
            <w:pPr>
              <w:spacing w:after="0"/>
              <w:rPr>
                <w:sz w:val="10"/>
                <w:szCs w:val="10"/>
                <w:color w:val="auto"/>
              </w:rPr>
            </w:pPr>
          </w:p>
        </w:tc>
        <w:tc>
          <w:tcPr>
            <w:tcW w:w="1220" w:type="dxa"/>
            <w:vAlign w:val="bottom"/>
            <w:tcBorders>
              <w:bottom w:val="single" w:sz="8" w:color="929292"/>
            </w:tcBorders>
          </w:tcPr>
          <w:p>
            <w:pPr>
              <w:jc w:val="center"/>
              <w:ind w:left="638"/>
              <w:spacing w:after="0"/>
              <w:rPr>
                <w:sz w:val="20"/>
                <w:szCs w:val="20"/>
                <w:color w:val="auto"/>
              </w:rPr>
            </w:pPr>
            <w:r>
              <w:rPr>
                <w:rFonts w:ascii="Arial" w:cs="Arial" w:eastAsia="Arial" w:hAnsi="Arial"/>
                <w:sz w:val="8"/>
                <w:szCs w:val="8"/>
                <w:b w:val="1"/>
                <w:bCs w:val="1"/>
                <w:color w:val="05445E"/>
              </w:rPr>
              <w:t>($)</w:t>
            </w:r>
          </w:p>
        </w:tc>
        <w:tc>
          <w:tcPr>
            <w:tcW w:w="680" w:type="dxa"/>
            <w:vAlign w:val="bottom"/>
            <w:tcBorders>
              <w:bottom w:val="single" w:sz="8" w:color="929292"/>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1920" w:type="dxa"/>
            <w:vAlign w:val="bottom"/>
            <w:tcBorders>
              <w:bottom w:val="single" w:sz="8" w:color="929292"/>
            </w:tcBorders>
          </w:tcPr>
          <w:p>
            <w:pPr>
              <w:jc w:val="center"/>
              <w:spacing w:after="0"/>
              <w:rPr>
                <w:sz w:val="20"/>
                <w:szCs w:val="20"/>
                <w:color w:val="auto"/>
              </w:rPr>
            </w:pPr>
            <w:r>
              <w:rPr>
                <w:rFonts w:ascii="Arial" w:cs="Arial" w:eastAsia="Arial" w:hAnsi="Arial"/>
                <w:sz w:val="8"/>
                <w:szCs w:val="8"/>
                <w:b w:val="1"/>
                <w:bCs w:val="1"/>
                <w:color w:val="05445E"/>
              </w:rPr>
              <w:t>($)</w:t>
            </w:r>
          </w:p>
        </w:tc>
        <w:tc>
          <w:tcPr>
            <w:tcW w:w="80" w:type="dxa"/>
            <w:vAlign w:val="bottom"/>
            <w:tcBorders>
              <w:bottom w:val="single" w:sz="8" w:color="DBDBDB"/>
            </w:tcBorders>
          </w:tcPr>
          <w:p>
            <w:pPr>
              <w:spacing w:after="0"/>
              <w:rPr>
                <w:sz w:val="10"/>
                <w:szCs w:val="10"/>
                <w:color w:val="auto"/>
              </w:rPr>
            </w:pPr>
          </w:p>
        </w:tc>
        <w:tc>
          <w:tcPr>
            <w:tcW w:w="2080" w:type="dxa"/>
            <w:vAlign w:val="bottom"/>
            <w:tcBorders>
              <w:bottom w:val="single" w:sz="8" w:color="929292"/>
            </w:tcBorders>
          </w:tcPr>
          <w:p>
            <w:pPr>
              <w:jc w:val="right"/>
              <w:ind w:right="938"/>
              <w:spacing w:after="0"/>
              <w:rPr>
                <w:sz w:val="20"/>
                <w:szCs w:val="20"/>
                <w:color w:val="auto"/>
              </w:rPr>
            </w:pPr>
            <w:r>
              <w:rPr>
                <w:rFonts w:ascii="Arial" w:cs="Arial" w:eastAsia="Arial" w:hAnsi="Arial"/>
                <w:sz w:val="8"/>
                <w:szCs w:val="8"/>
                <w:b w:val="1"/>
                <w:bCs w:val="1"/>
                <w:color w:val="05445E"/>
              </w:rPr>
              <w:t>($)</w:t>
            </w:r>
          </w:p>
        </w:tc>
      </w:tr>
      <w:tr>
        <w:trPr>
          <w:trHeight w:val="131"/>
        </w:trPr>
        <w:tc>
          <w:tcPr>
            <w:tcW w:w="5240" w:type="dxa"/>
            <w:vAlign w:val="bottom"/>
            <w:gridSpan w:val="2"/>
            <w:shd w:val="clear" w:color="auto" w:fill="DBDBDB"/>
          </w:tcPr>
          <w:p>
            <w:pPr>
              <w:spacing w:after="0"/>
              <w:rPr>
                <w:sz w:val="20"/>
                <w:szCs w:val="20"/>
                <w:color w:val="auto"/>
              </w:rPr>
            </w:pPr>
            <w:r>
              <w:rPr>
                <w:rFonts w:ascii="Arial" w:cs="Arial" w:eastAsia="Arial" w:hAnsi="Arial"/>
                <w:sz w:val="8"/>
                <w:szCs w:val="8"/>
                <w:b w:val="1"/>
                <w:bCs w:val="1"/>
                <w:color w:val="auto"/>
              </w:rPr>
              <w:t>Total Compensation from Summary Compensation Table</w:t>
            </w:r>
          </w:p>
        </w:tc>
        <w:tc>
          <w:tcPr>
            <w:tcW w:w="1220" w:type="dxa"/>
            <w:vAlign w:val="bottom"/>
            <w:shd w:val="clear" w:color="auto" w:fill="DBDBDB"/>
          </w:tcPr>
          <w:p>
            <w:pPr>
              <w:spacing w:after="0"/>
              <w:rPr>
                <w:sz w:val="11"/>
                <w:szCs w:val="11"/>
                <w:color w:val="auto"/>
              </w:rPr>
            </w:pPr>
          </w:p>
        </w:tc>
        <w:tc>
          <w:tcPr>
            <w:tcW w:w="680" w:type="dxa"/>
            <w:vAlign w:val="bottom"/>
            <w:shd w:val="clear" w:color="auto" w:fill="DBDBDB"/>
          </w:tcPr>
          <w:p>
            <w:pPr>
              <w:jc w:val="right"/>
              <w:ind w:right="198"/>
              <w:spacing w:after="0"/>
              <w:rPr>
                <w:sz w:val="20"/>
                <w:szCs w:val="20"/>
                <w:color w:val="auto"/>
              </w:rPr>
            </w:pPr>
            <w:r>
              <w:rPr>
                <w:rFonts w:ascii="Arial" w:cs="Arial" w:eastAsia="Arial" w:hAnsi="Arial"/>
                <w:sz w:val="8"/>
                <w:szCs w:val="8"/>
                <w:color w:val="auto"/>
              </w:rPr>
              <w:t>2,163,921</w:t>
            </w:r>
          </w:p>
        </w:tc>
        <w:tc>
          <w:tcPr>
            <w:tcW w:w="80" w:type="dxa"/>
            <w:vAlign w:val="bottom"/>
            <w:shd w:val="clear" w:color="auto" w:fill="DBDBDB"/>
          </w:tcPr>
          <w:p>
            <w:pPr>
              <w:spacing w:after="0"/>
              <w:rPr>
                <w:sz w:val="11"/>
                <w:szCs w:val="11"/>
                <w:color w:val="auto"/>
              </w:rPr>
            </w:pPr>
          </w:p>
        </w:tc>
        <w:tc>
          <w:tcPr>
            <w:tcW w:w="1920" w:type="dxa"/>
            <w:vAlign w:val="bottom"/>
            <w:shd w:val="clear" w:color="auto" w:fill="DBDBDB"/>
          </w:tcPr>
          <w:p>
            <w:pPr>
              <w:jc w:val="center"/>
              <w:spacing w:after="0"/>
              <w:rPr>
                <w:sz w:val="20"/>
                <w:szCs w:val="20"/>
                <w:color w:val="auto"/>
              </w:rPr>
            </w:pPr>
            <w:r>
              <w:rPr>
                <w:rFonts w:ascii="Arial" w:cs="Arial" w:eastAsia="Arial" w:hAnsi="Arial"/>
                <w:sz w:val="8"/>
                <w:szCs w:val="8"/>
                <w:color w:val="auto"/>
              </w:rPr>
              <w:t>6,075,286</w:t>
            </w:r>
          </w:p>
        </w:tc>
        <w:tc>
          <w:tcPr>
            <w:tcW w:w="80" w:type="dxa"/>
            <w:vAlign w:val="bottom"/>
            <w:shd w:val="clear" w:color="auto" w:fill="DBDBDB"/>
          </w:tcPr>
          <w:p>
            <w:pPr>
              <w:spacing w:after="0"/>
              <w:rPr>
                <w:sz w:val="11"/>
                <w:szCs w:val="11"/>
                <w:color w:val="auto"/>
              </w:rPr>
            </w:pPr>
          </w:p>
        </w:tc>
        <w:tc>
          <w:tcPr>
            <w:tcW w:w="2080" w:type="dxa"/>
            <w:vAlign w:val="bottom"/>
            <w:shd w:val="clear" w:color="auto" w:fill="DBDBDB"/>
          </w:tcPr>
          <w:p>
            <w:pPr>
              <w:jc w:val="right"/>
              <w:ind w:right="278"/>
              <w:spacing w:after="0"/>
              <w:rPr>
                <w:sz w:val="20"/>
                <w:szCs w:val="20"/>
                <w:color w:val="auto"/>
              </w:rPr>
            </w:pPr>
            <w:r>
              <w:rPr>
                <w:rFonts w:ascii="Arial" w:cs="Arial" w:eastAsia="Arial" w:hAnsi="Arial"/>
                <w:sz w:val="8"/>
                <w:szCs w:val="8"/>
                <w:color w:val="auto"/>
              </w:rPr>
              <w:t>1,725,694</w:t>
            </w:r>
          </w:p>
        </w:tc>
      </w:tr>
      <w:tr>
        <w:trPr>
          <w:trHeight w:val="128"/>
        </w:trPr>
        <w:tc>
          <w:tcPr>
            <w:tcW w:w="5240" w:type="dxa"/>
            <w:vAlign w:val="bottom"/>
            <w:gridSpan w:val="2"/>
          </w:tcPr>
          <w:p>
            <w:pPr>
              <w:spacing w:after="0"/>
              <w:rPr>
                <w:sz w:val="20"/>
                <w:szCs w:val="20"/>
                <w:color w:val="auto"/>
              </w:rPr>
            </w:pPr>
            <w:r>
              <w:rPr>
                <w:rFonts w:ascii="Arial" w:cs="Arial" w:eastAsia="Arial" w:hAnsi="Arial"/>
                <w:sz w:val="8"/>
                <w:szCs w:val="8"/>
                <w:b w:val="1"/>
                <w:bCs w:val="1"/>
                <w:color w:val="auto"/>
              </w:rPr>
              <w:t>Adjustments for Equity Awards</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43"/>
        </w:trPr>
        <w:tc>
          <w:tcPr>
            <w:tcW w:w="5240" w:type="dxa"/>
            <w:vAlign w:val="bottom"/>
            <w:gridSpan w:val="2"/>
            <w:shd w:val="clear" w:color="auto" w:fill="DBDBDB"/>
          </w:tcPr>
          <w:p>
            <w:pPr>
              <w:spacing w:after="0"/>
              <w:rPr>
                <w:sz w:val="20"/>
                <w:szCs w:val="20"/>
                <w:color w:val="auto"/>
              </w:rPr>
            </w:pPr>
            <w:r>
              <w:rPr>
                <w:rFonts w:ascii="Arial" w:cs="Arial" w:eastAsia="Arial" w:hAnsi="Arial"/>
                <w:sz w:val="8"/>
                <w:szCs w:val="8"/>
                <w:color w:val="auto"/>
              </w:rPr>
              <w:t>Subtract grant date values in Summary Compensation Table</w:t>
            </w:r>
          </w:p>
        </w:tc>
        <w:tc>
          <w:tcPr>
            <w:tcW w:w="122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178"/>
              <w:spacing w:after="0"/>
              <w:rPr>
                <w:sz w:val="20"/>
                <w:szCs w:val="20"/>
                <w:color w:val="auto"/>
              </w:rPr>
            </w:pPr>
            <w:r>
              <w:rPr>
                <w:rFonts w:ascii="Arial" w:cs="Arial" w:eastAsia="Arial" w:hAnsi="Arial"/>
                <w:sz w:val="8"/>
                <w:szCs w:val="8"/>
                <w:color w:val="auto"/>
              </w:rPr>
              <w:t>(1,749,990)</w:t>
            </w:r>
          </w:p>
        </w:tc>
        <w:tc>
          <w:tcPr>
            <w:tcW w:w="80" w:type="dxa"/>
            <w:vAlign w:val="bottom"/>
            <w:shd w:val="clear" w:color="auto" w:fill="DBDBDB"/>
          </w:tcPr>
          <w:p>
            <w:pPr>
              <w:spacing w:after="0"/>
              <w:rPr>
                <w:sz w:val="12"/>
                <w:szCs w:val="12"/>
                <w:color w:val="auto"/>
              </w:rPr>
            </w:pPr>
          </w:p>
        </w:tc>
        <w:tc>
          <w:tcPr>
            <w:tcW w:w="1920" w:type="dxa"/>
            <w:vAlign w:val="bottom"/>
            <w:shd w:val="clear" w:color="auto" w:fill="DBDBDB"/>
          </w:tcPr>
          <w:p>
            <w:pPr>
              <w:jc w:val="center"/>
              <w:spacing w:after="0"/>
              <w:rPr>
                <w:sz w:val="20"/>
                <w:szCs w:val="20"/>
                <w:color w:val="auto"/>
              </w:rPr>
            </w:pPr>
            <w:r>
              <w:rPr>
                <w:rFonts w:ascii="Arial" w:cs="Arial" w:eastAsia="Arial" w:hAnsi="Arial"/>
                <w:sz w:val="8"/>
                <w:szCs w:val="8"/>
                <w:color w:val="auto"/>
              </w:rPr>
              <w:t>(2,120,267)</w:t>
            </w:r>
          </w:p>
        </w:tc>
        <w:tc>
          <w:tcPr>
            <w:tcW w:w="80" w:type="dxa"/>
            <w:vAlign w:val="bottom"/>
            <w:shd w:val="clear" w:color="auto" w:fill="DBDBDB"/>
          </w:tcPr>
          <w:p>
            <w:pPr>
              <w:spacing w:after="0"/>
              <w:rPr>
                <w:sz w:val="12"/>
                <w:szCs w:val="12"/>
                <w:color w:val="auto"/>
              </w:rPr>
            </w:pPr>
          </w:p>
        </w:tc>
        <w:tc>
          <w:tcPr>
            <w:tcW w:w="2080" w:type="dxa"/>
            <w:vAlign w:val="bottom"/>
            <w:shd w:val="clear" w:color="auto" w:fill="DBDBDB"/>
          </w:tcPr>
          <w:p>
            <w:pPr>
              <w:jc w:val="right"/>
              <w:ind w:right="258"/>
              <w:spacing w:after="0"/>
              <w:rPr>
                <w:sz w:val="20"/>
                <w:szCs w:val="20"/>
                <w:color w:val="auto"/>
              </w:rPr>
            </w:pPr>
            <w:r>
              <w:rPr>
                <w:rFonts w:ascii="Arial" w:cs="Arial" w:eastAsia="Arial" w:hAnsi="Arial"/>
                <w:sz w:val="8"/>
                <w:szCs w:val="8"/>
                <w:color w:val="auto"/>
              </w:rPr>
              <w:t>(1,052,803)</w:t>
            </w:r>
          </w:p>
        </w:tc>
      </w:tr>
      <w:tr>
        <w:trPr>
          <w:trHeight w:val="125"/>
        </w:trPr>
        <w:tc>
          <w:tcPr>
            <w:tcW w:w="5240" w:type="dxa"/>
            <w:vAlign w:val="bottom"/>
            <w:gridSpan w:val="2"/>
          </w:tcPr>
          <w:p>
            <w:pPr>
              <w:spacing w:after="0"/>
              <w:rPr>
                <w:sz w:val="20"/>
                <w:szCs w:val="20"/>
                <w:color w:val="auto"/>
              </w:rPr>
            </w:pPr>
            <w:r>
              <w:rPr>
                <w:rFonts w:ascii="Arial" w:cs="Arial" w:eastAsia="Arial" w:hAnsi="Arial"/>
                <w:sz w:val="8"/>
                <w:szCs w:val="8"/>
                <w:color w:val="auto"/>
              </w:rPr>
              <w:t>Add year-end fair value of unvested awards granted in current year</w:t>
            </w:r>
          </w:p>
        </w:tc>
        <w:tc>
          <w:tcPr>
            <w:tcW w:w="1220" w:type="dxa"/>
            <w:vAlign w:val="bottom"/>
          </w:tcPr>
          <w:p>
            <w:pPr>
              <w:spacing w:after="0"/>
              <w:rPr>
                <w:sz w:val="10"/>
                <w:szCs w:val="10"/>
                <w:color w:val="auto"/>
              </w:rPr>
            </w:pPr>
          </w:p>
        </w:tc>
        <w:tc>
          <w:tcPr>
            <w:tcW w:w="680" w:type="dxa"/>
            <w:vAlign w:val="bottom"/>
          </w:tcPr>
          <w:p>
            <w:pPr>
              <w:jc w:val="right"/>
              <w:ind w:right="198"/>
              <w:spacing w:after="0"/>
              <w:rPr>
                <w:sz w:val="20"/>
                <w:szCs w:val="20"/>
                <w:color w:val="auto"/>
              </w:rPr>
            </w:pPr>
            <w:r>
              <w:rPr>
                <w:rFonts w:ascii="Arial" w:cs="Arial" w:eastAsia="Arial" w:hAnsi="Arial"/>
                <w:sz w:val="8"/>
                <w:szCs w:val="8"/>
                <w:color w:val="auto"/>
              </w:rPr>
              <w:t>1,960,737</w:t>
            </w:r>
          </w:p>
        </w:tc>
        <w:tc>
          <w:tcPr>
            <w:tcW w:w="80" w:type="dxa"/>
            <w:vAlign w:val="bottom"/>
          </w:tcPr>
          <w:p>
            <w:pPr>
              <w:spacing w:after="0"/>
              <w:rPr>
                <w:sz w:val="10"/>
                <w:szCs w:val="10"/>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8"/>
                <w:szCs w:val="8"/>
                <w:color w:val="auto"/>
                <w:w w:val="99"/>
              </w:rPr>
              <w:t>—</w:t>
            </w:r>
          </w:p>
        </w:tc>
        <w:tc>
          <w:tcPr>
            <w:tcW w:w="2080" w:type="dxa"/>
            <w:vAlign w:val="bottom"/>
          </w:tcPr>
          <w:p>
            <w:pPr>
              <w:jc w:val="right"/>
              <w:ind w:right="278"/>
              <w:spacing w:after="0"/>
              <w:rPr>
                <w:sz w:val="20"/>
                <w:szCs w:val="20"/>
                <w:color w:val="auto"/>
              </w:rPr>
            </w:pPr>
            <w:r>
              <w:rPr>
                <w:rFonts w:ascii="Arial" w:cs="Arial" w:eastAsia="Arial" w:hAnsi="Arial"/>
                <w:sz w:val="8"/>
                <w:szCs w:val="8"/>
                <w:color w:val="auto"/>
              </w:rPr>
              <w:t>907,538</w:t>
            </w:r>
          </w:p>
        </w:tc>
      </w:tr>
      <w:tr>
        <w:trPr>
          <w:trHeight w:val="145"/>
        </w:trPr>
        <w:tc>
          <w:tcPr>
            <w:tcW w:w="5240" w:type="dxa"/>
            <w:vAlign w:val="bottom"/>
            <w:gridSpan w:val="2"/>
            <w:shd w:val="clear" w:color="auto" w:fill="DBDBDB"/>
          </w:tcPr>
          <w:p>
            <w:pPr>
              <w:spacing w:after="0"/>
              <w:rPr>
                <w:sz w:val="20"/>
                <w:szCs w:val="20"/>
                <w:color w:val="auto"/>
              </w:rPr>
            </w:pPr>
            <w:r>
              <w:rPr>
                <w:rFonts w:ascii="Arial" w:cs="Arial" w:eastAsia="Arial" w:hAnsi="Arial"/>
                <w:sz w:val="8"/>
                <w:szCs w:val="8"/>
                <w:color w:val="auto"/>
              </w:rPr>
              <w:t>Add year-over-year difference of year-end fair values for unvested awards granted in prior years</w:t>
            </w:r>
          </w:p>
        </w:tc>
        <w:tc>
          <w:tcPr>
            <w:tcW w:w="1220" w:type="dxa"/>
            <w:vAlign w:val="bottom"/>
            <w:shd w:val="clear" w:color="auto" w:fill="DBDBDB"/>
          </w:tcPr>
          <w:p>
            <w:pPr>
              <w:jc w:val="center"/>
              <w:ind w:left="658"/>
              <w:spacing w:after="0"/>
              <w:rPr>
                <w:sz w:val="20"/>
                <w:szCs w:val="20"/>
                <w:color w:val="auto"/>
              </w:rPr>
            </w:pPr>
            <w:r>
              <w:rPr>
                <w:rFonts w:ascii="Arial" w:cs="Arial" w:eastAsia="Arial" w:hAnsi="Arial"/>
                <w:sz w:val="8"/>
                <w:szCs w:val="8"/>
                <w:color w:val="auto"/>
                <w:w w:val="99"/>
              </w:rPr>
              <w:t>—</w:t>
            </w:r>
          </w:p>
        </w:tc>
        <w:tc>
          <w:tcPr>
            <w:tcW w:w="6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0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2080" w:type="dxa"/>
            <w:vAlign w:val="bottom"/>
            <w:shd w:val="clear" w:color="auto" w:fill="DBDBDB"/>
          </w:tcPr>
          <w:p>
            <w:pPr>
              <w:jc w:val="right"/>
              <w:ind w:right="258"/>
              <w:spacing w:after="0"/>
              <w:rPr>
                <w:sz w:val="20"/>
                <w:szCs w:val="20"/>
                <w:color w:val="auto"/>
              </w:rPr>
            </w:pPr>
            <w:r>
              <w:rPr>
                <w:rFonts w:ascii="Arial" w:cs="Arial" w:eastAsia="Arial" w:hAnsi="Arial"/>
                <w:sz w:val="8"/>
                <w:szCs w:val="8"/>
                <w:color w:val="auto"/>
              </w:rPr>
              <w:t>(136,865)</w:t>
            </w:r>
          </w:p>
        </w:tc>
      </w:tr>
      <w:tr>
        <w:trPr>
          <w:trHeight w:val="125"/>
        </w:trPr>
        <w:tc>
          <w:tcPr>
            <w:tcW w:w="5240" w:type="dxa"/>
            <w:vAlign w:val="bottom"/>
            <w:gridSpan w:val="2"/>
          </w:tcPr>
          <w:p>
            <w:pPr>
              <w:spacing w:after="0"/>
              <w:rPr>
                <w:sz w:val="20"/>
                <w:szCs w:val="20"/>
                <w:color w:val="auto"/>
              </w:rPr>
            </w:pPr>
            <w:r>
              <w:rPr>
                <w:rFonts w:ascii="Arial" w:cs="Arial" w:eastAsia="Arial" w:hAnsi="Arial"/>
                <w:sz w:val="8"/>
                <w:szCs w:val="8"/>
                <w:color w:val="auto"/>
              </w:rPr>
              <w:t>Add fair values at vest date for awards granted and vested in current years</w:t>
            </w:r>
          </w:p>
        </w:tc>
        <w:tc>
          <w:tcPr>
            <w:tcW w:w="1220" w:type="dxa"/>
            <w:vAlign w:val="bottom"/>
          </w:tcPr>
          <w:p>
            <w:pPr>
              <w:jc w:val="center"/>
              <w:ind w:left="658"/>
              <w:spacing w:after="0"/>
              <w:rPr>
                <w:sz w:val="20"/>
                <w:szCs w:val="20"/>
                <w:color w:val="auto"/>
              </w:rPr>
            </w:pPr>
            <w:r>
              <w:rPr>
                <w:rFonts w:ascii="Arial" w:cs="Arial" w:eastAsia="Arial" w:hAnsi="Arial"/>
                <w:sz w:val="8"/>
                <w:szCs w:val="8"/>
                <w:color w:val="auto"/>
                <w:w w:val="99"/>
              </w:rPr>
              <w: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8"/>
                <w:szCs w:val="8"/>
                <w:color w:val="auto"/>
              </w:rPr>
              <w:t>956,079</w:t>
            </w:r>
          </w:p>
        </w:tc>
        <w:tc>
          <w:tcPr>
            <w:tcW w:w="8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Arial" w:cs="Arial" w:eastAsia="Arial" w:hAnsi="Arial"/>
                <w:sz w:val="8"/>
                <w:szCs w:val="8"/>
                <w:color w:val="auto"/>
                <w:w w:val="99"/>
              </w:rPr>
              <w:t>—</w:t>
            </w:r>
          </w:p>
        </w:tc>
      </w:tr>
      <w:tr>
        <w:trPr>
          <w:trHeight w:val="145"/>
        </w:trPr>
        <w:tc>
          <w:tcPr>
            <w:tcW w:w="5240" w:type="dxa"/>
            <w:vAlign w:val="bottom"/>
            <w:gridSpan w:val="2"/>
            <w:shd w:val="clear" w:color="auto" w:fill="DBDBDB"/>
          </w:tcPr>
          <w:p>
            <w:pPr>
              <w:spacing w:after="0"/>
              <w:rPr>
                <w:sz w:val="20"/>
                <w:szCs w:val="20"/>
                <w:color w:val="auto"/>
              </w:rPr>
            </w:pPr>
            <w:r>
              <w:rPr>
                <w:rFonts w:ascii="Arial" w:cs="Arial" w:eastAsia="Arial" w:hAnsi="Arial"/>
                <w:sz w:val="8"/>
                <w:szCs w:val="8"/>
                <w:color w:val="auto"/>
              </w:rPr>
              <w:t>Add (subtract) difference between prior year-end fair values and vest date fair values for awards granted in prior years</w:t>
            </w:r>
          </w:p>
        </w:tc>
        <w:tc>
          <w:tcPr>
            <w:tcW w:w="1220" w:type="dxa"/>
            <w:vAlign w:val="bottom"/>
            <w:shd w:val="clear" w:color="auto" w:fill="DBDBDB"/>
          </w:tcPr>
          <w:p>
            <w:pPr>
              <w:jc w:val="center"/>
              <w:ind w:left="658"/>
              <w:spacing w:after="0"/>
              <w:rPr>
                <w:sz w:val="20"/>
                <w:szCs w:val="20"/>
                <w:color w:val="auto"/>
              </w:rPr>
            </w:pPr>
            <w:r>
              <w:rPr>
                <w:rFonts w:ascii="Arial" w:cs="Arial" w:eastAsia="Arial" w:hAnsi="Arial"/>
                <w:sz w:val="8"/>
                <w:szCs w:val="8"/>
                <w:color w:val="auto"/>
                <w:w w:val="99"/>
              </w:rPr>
              <w:t>—</w:t>
            </w:r>
          </w:p>
        </w:tc>
        <w:tc>
          <w:tcPr>
            <w:tcW w:w="6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920" w:type="dxa"/>
            <w:vAlign w:val="bottom"/>
            <w:shd w:val="clear" w:color="auto" w:fill="DBDBDB"/>
          </w:tcPr>
          <w:p>
            <w:pPr>
              <w:jc w:val="center"/>
              <w:spacing w:after="0"/>
              <w:rPr>
                <w:sz w:val="20"/>
                <w:szCs w:val="20"/>
                <w:color w:val="auto"/>
              </w:rPr>
            </w:pPr>
            <w:r>
              <w:rPr>
                <w:rFonts w:ascii="Arial" w:cs="Arial" w:eastAsia="Arial" w:hAnsi="Arial"/>
                <w:sz w:val="8"/>
                <w:szCs w:val="8"/>
                <w:color w:val="auto"/>
              </w:rPr>
              <w:t>(1,998,560)</w:t>
            </w:r>
          </w:p>
        </w:tc>
        <w:tc>
          <w:tcPr>
            <w:tcW w:w="80" w:type="dxa"/>
            <w:vAlign w:val="bottom"/>
            <w:shd w:val="clear" w:color="auto" w:fill="DBDBDB"/>
          </w:tcPr>
          <w:p>
            <w:pPr>
              <w:spacing w:after="0"/>
              <w:rPr>
                <w:sz w:val="12"/>
                <w:szCs w:val="12"/>
                <w:color w:val="auto"/>
              </w:rPr>
            </w:pPr>
          </w:p>
        </w:tc>
        <w:tc>
          <w:tcPr>
            <w:tcW w:w="2080" w:type="dxa"/>
            <w:vAlign w:val="bottom"/>
            <w:shd w:val="clear" w:color="auto" w:fill="DBDBDB"/>
          </w:tcPr>
          <w:p>
            <w:pPr>
              <w:jc w:val="right"/>
              <w:ind w:right="278"/>
              <w:spacing w:after="0"/>
              <w:rPr>
                <w:sz w:val="20"/>
                <w:szCs w:val="20"/>
                <w:color w:val="auto"/>
              </w:rPr>
            </w:pPr>
            <w:r>
              <w:rPr>
                <w:rFonts w:ascii="Arial" w:cs="Arial" w:eastAsia="Arial" w:hAnsi="Arial"/>
                <w:sz w:val="8"/>
                <w:szCs w:val="8"/>
                <w:color w:val="auto"/>
              </w:rPr>
              <w:t>(36,458)</w:t>
            </w:r>
          </w:p>
        </w:tc>
      </w:tr>
      <w:tr>
        <w:trPr>
          <w:trHeight w:val="125"/>
        </w:trPr>
        <w:tc>
          <w:tcPr>
            <w:tcW w:w="5240" w:type="dxa"/>
            <w:vAlign w:val="bottom"/>
            <w:gridSpan w:val="2"/>
          </w:tcPr>
          <w:p>
            <w:pPr>
              <w:spacing w:after="0"/>
              <w:rPr>
                <w:sz w:val="20"/>
                <w:szCs w:val="20"/>
                <w:color w:val="auto"/>
              </w:rPr>
            </w:pPr>
            <w:r>
              <w:rPr>
                <w:rFonts w:ascii="Arial" w:cs="Arial" w:eastAsia="Arial" w:hAnsi="Arial"/>
                <w:sz w:val="8"/>
                <w:szCs w:val="8"/>
                <w:color w:val="auto"/>
              </w:rPr>
              <w:t>Subtract forfeitures during current year equal to prior year-end fair value</w:t>
            </w:r>
          </w:p>
        </w:tc>
        <w:tc>
          <w:tcPr>
            <w:tcW w:w="1220" w:type="dxa"/>
            <w:vAlign w:val="bottom"/>
          </w:tcPr>
          <w:p>
            <w:pPr>
              <w:jc w:val="center"/>
              <w:ind w:left="658"/>
              <w:spacing w:after="0"/>
              <w:rPr>
                <w:sz w:val="20"/>
                <w:szCs w:val="20"/>
                <w:color w:val="auto"/>
              </w:rPr>
            </w:pPr>
            <w:r>
              <w:rPr>
                <w:rFonts w:ascii="Arial" w:cs="Arial" w:eastAsia="Arial" w:hAnsi="Arial"/>
                <w:sz w:val="8"/>
                <w:szCs w:val="8"/>
                <w:color w:val="auto"/>
                <w:w w:val="99"/>
              </w:rPr>
              <w: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8"/>
                <w:szCs w:val="8"/>
                <w:color w:val="auto"/>
              </w:rPr>
              <w:t>696,664</w:t>
            </w:r>
          </w:p>
        </w:tc>
        <w:tc>
          <w:tcPr>
            <w:tcW w:w="80" w:type="dxa"/>
            <w:vAlign w:val="bottom"/>
          </w:tcPr>
          <w:p>
            <w:pPr>
              <w:spacing w:after="0"/>
              <w:rPr>
                <w:sz w:val="10"/>
                <w:szCs w:val="10"/>
                <w:color w:val="auto"/>
              </w:rPr>
            </w:pPr>
          </w:p>
        </w:tc>
        <w:tc>
          <w:tcPr>
            <w:tcW w:w="2080" w:type="dxa"/>
            <w:vAlign w:val="bottom"/>
          </w:tcPr>
          <w:p>
            <w:pPr>
              <w:jc w:val="right"/>
              <w:ind w:right="1298"/>
              <w:spacing w:after="0"/>
              <w:rPr>
                <w:sz w:val="20"/>
                <w:szCs w:val="20"/>
                <w:color w:val="auto"/>
              </w:rPr>
            </w:pPr>
            <w:r>
              <w:rPr>
                <w:rFonts w:ascii="Arial" w:cs="Arial" w:eastAsia="Arial" w:hAnsi="Arial"/>
                <w:sz w:val="8"/>
                <w:szCs w:val="8"/>
                <w:color w:val="auto"/>
              </w:rPr>
              <w:t>(228,597)</w:t>
            </w:r>
          </w:p>
        </w:tc>
      </w:tr>
      <w:tr>
        <w:trPr>
          <w:trHeight w:val="145"/>
        </w:trPr>
        <w:tc>
          <w:tcPr>
            <w:tcW w:w="5240" w:type="dxa"/>
            <w:vAlign w:val="bottom"/>
            <w:gridSpan w:val="2"/>
            <w:shd w:val="clear" w:color="auto" w:fill="DBDBDB"/>
          </w:tcPr>
          <w:p>
            <w:pPr>
              <w:spacing w:after="0"/>
              <w:rPr>
                <w:sz w:val="20"/>
                <w:szCs w:val="20"/>
                <w:color w:val="auto"/>
              </w:rPr>
            </w:pPr>
            <w:r>
              <w:rPr>
                <w:rFonts w:ascii="Arial" w:cs="Arial" w:eastAsia="Arial" w:hAnsi="Arial"/>
                <w:sz w:val="8"/>
                <w:szCs w:val="8"/>
                <w:color w:val="auto"/>
              </w:rPr>
              <w:t>Add dividends or dividend equivalents not otherwise included in total compensation</w:t>
            </w:r>
          </w:p>
        </w:tc>
        <w:tc>
          <w:tcPr>
            <w:tcW w:w="1220" w:type="dxa"/>
            <w:vAlign w:val="bottom"/>
            <w:shd w:val="clear" w:color="auto" w:fill="DBDBDB"/>
          </w:tcPr>
          <w:p>
            <w:pPr>
              <w:jc w:val="center"/>
              <w:ind w:left="658"/>
              <w:spacing w:after="0"/>
              <w:rPr>
                <w:sz w:val="20"/>
                <w:szCs w:val="20"/>
                <w:color w:val="auto"/>
              </w:rPr>
            </w:pPr>
            <w:r>
              <w:rPr>
                <w:rFonts w:ascii="Arial" w:cs="Arial" w:eastAsia="Arial" w:hAnsi="Arial"/>
                <w:sz w:val="8"/>
                <w:szCs w:val="8"/>
                <w:color w:val="auto"/>
                <w:w w:val="99"/>
              </w:rPr>
              <w:t>—</w:t>
            </w:r>
          </w:p>
        </w:tc>
        <w:tc>
          <w:tcPr>
            <w:tcW w:w="6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00" w:type="dxa"/>
            <w:vAlign w:val="bottom"/>
            <w:gridSpan w:val="2"/>
            <w:shd w:val="clear" w:color="auto" w:fill="DBDBDB"/>
          </w:tcPr>
          <w:p>
            <w:pPr>
              <w:jc w:val="center"/>
              <w:ind w:right="80"/>
              <w:spacing w:after="0"/>
              <w:rPr>
                <w:sz w:val="20"/>
                <w:szCs w:val="20"/>
                <w:color w:val="auto"/>
              </w:rPr>
            </w:pPr>
            <w:r>
              <w:rPr>
                <w:rFonts w:ascii="Arial" w:cs="Arial" w:eastAsia="Arial" w:hAnsi="Arial"/>
                <w:sz w:val="8"/>
                <w:szCs w:val="8"/>
                <w:color w:val="auto"/>
                <w:w w:val="99"/>
              </w:rPr>
              <w:t>—</w:t>
            </w:r>
          </w:p>
        </w:tc>
        <w:tc>
          <w:tcPr>
            <w:tcW w:w="2080" w:type="dxa"/>
            <w:vAlign w:val="bottom"/>
            <w:shd w:val="clear" w:color="auto" w:fill="DBDBDB"/>
          </w:tcPr>
          <w:p>
            <w:pPr>
              <w:jc w:val="right"/>
              <w:ind w:right="358"/>
              <w:spacing w:after="0"/>
              <w:rPr>
                <w:sz w:val="20"/>
                <w:szCs w:val="20"/>
                <w:color w:val="auto"/>
              </w:rPr>
            </w:pPr>
            <w:r>
              <w:rPr>
                <w:rFonts w:ascii="Arial" w:cs="Arial" w:eastAsia="Arial" w:hAnsi="Arial"/>
                <w:sz w:val="8"/>
                <w:szCs w:val="8"/>
                <w:color w:val="auto"/>
              </w:rPr>
              <w:t>5,958</w:t>
            </w:r>
          </w:p>
        </w:tc>
      </w:tr>
      <w:tr>
        <w:trPr>
          <w:trHeight w:val="120"/>
        </w:trPr>
        <w:tc>
          <w:tcPr>
            <w:tcW w:w="5240" w:type="dxa"/>
            <w:vAlign w:val="bottom"/>
            <w:gridSpan w:val="2"/>
          </w:tcPr>
          <w:p>
            <w:pPr>
              <w:spacing w:after="0"/>
              <w:rPr>
                <w:sz w:val="20"/>
                <w:szCs w:val="20"/>
                <w:color w:val="auto"/>
              </w:rPr>
            </w:pPr>
            <w:r>
              <w:rPr>
                <w:rFonts w:ascii="Arial" w:cs="Arial" w:eastAsia="Arial" w:hAnsi="Arial"/>
                <w:sz w:val="8"/>
                <w:szCs w:val="8"/>
                <w:b w:val="1"/>
                <w:bCs w:val="1"/>
                <w:color w:val="auto"/>
              </w:rPr>
              <w:t>Compensation Actually Paid</w:t>
            </w:r>
          </w:p>
        </w:tc>
        <w:tc>
          <w:tcPr>
            <w:tcW w:w="1220" w:type="dxa"/>
            <w:vAlign w:val="bottom"/>
          </w:tcPr>
          <w:p>
            <w:pPr>
              <w:spacing w:after="0"/>
              <w:rPr>
                <w:sz w:val="10"/>
                <w:szCs w:val="10"/>
                <w:color w:val="auto"/>
              </w:rPr>
            </w:pPr>
          </w:p>
        </w:tc>
        <w:tc>
          <w:tcPr>
            <w:tcW w:w="680" w:type="dxa"/>
            <w:vAlign w:val="bottom"/>
          </w:tcPr>
          <w:p>
            <w:pPr>
              <w:jc w:val="right"/>
              <w:ind w:right="198"/>
              <w:spacing w:after="0"/>
              <w:rPr>
                <w:sz w:val="20"/>
                <w:szCs w:val="20"/>
                <w:color w:val="auto"/>
              </w:rPr>
            </w:pPr>
            <w:r>
              <w:rPr>
                <w:rFonts w:ascii="Arial" w:cs="Arial" w:eastAsia="Arial" w:hAnsi="Arial"/>
                <w:sz w:val="8"/>
                <w:szCs w:val="8"/>
                <w:color w:val="auto"/>
              </w:rPr>
              <w:t>2,374,668</w:t>
            </w:r>
          </w:p>
        </w:tc>
        <w:tc>
          <w:tcPr>
            <w:tcW w:w="8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8"/>
                <w:szCs w:val="8"/>
                <w:color w:val="auto"/>
              </w:rPr>
              <w:t>3,609,202</w:t>
            </w:r>
          </w:p>
        </w:tc>
        <w:tc>
          <w:tcPr>
            <w:tcW w:w="80" w:type="dxa"/>
            <w:vAlign w:val="bottom"/>
          </w:tcPr>
          <w:p>
            <w:pPr>
              <w:spacing w:after="0"/>
              <w:rPr>
                <w:sz w:val="10"/>
                <w:szCs w:val="10"/>
                <w:color w:val="auto"/>
              </w:rPr>
            </w:pPr>
          </w:p>
        </w:tc>
        <w:tc>
          <w:tcPr>
            <w:tcW w:w="2080" w:type="dxa"/>
            <w:vAlign w:val="bottom"/>
          </w:tcPr>
          <w:p>
            <w:pPr>
              <w:jc w:val="right"/>
              <w:ind w:right="278"/>
              <w:spacing w:after="0"/>
              <w:rPr>
                <w:sz w:val="20"/>
                <w:szCs w:val="20"/>
                <w:color w:val="auto"/>
              </w:rPr>
            </w:pPr>
            <w:r>
              <w:rPr>
                <w:rFonts w:ascii="Arial" w:cs="Arial" w:eastAsia="Arial" w:hAnsi="Arial"/>
                <w:sz w:val="8"/>
                <w:szCs w:val="8"/>
                <w:color w:val="auto"/>
              </w:rPr>
              <w:t>1,184,467</w:t>
            </w:r>
          </w:p>
        </w:tc>
      </w:tr>
    </w:tbl>
    <w:p>
      <w:pPr>
        <w:spacing w:after="0" w:line="138" w:lineRule="exact"/>
        <w:rPr>
          <w:sz w:val="20"/>
          <w:szCs w:val="20"/>
          <w:color w:val="auto"/>
        </w:rPr>
      </w:pPr>
    </w:p>
    <w:p>
      <w:pPr>
        <w:ind w:left="328" w:hanging="328"/>
        <w:spacing w:after="0" w:line="272" w:lineRule="auto"/>
        <w:tabs>
          <w:tab w:leader="none" w:pos="323" w:val="left"/>
        </w:tabs>
        <w:numPr>
          <w:ilvl w:val="0"/>
          <w:numId w:val="66"/>
        </w:numPr>
        <w:rPr>
          <w:rFonts w:ascii="Arial" w:cs="Arial" w:eastAsia="Arial" w:hAnsi="Arial"/>
          <w:sz w:val="8"/>
          <w:szCs w:val="8"/>
          <w:color w:val="auto"/>
        </w:rPr>
      </w:pPr>
      <w:r>
        <w:rPr>
          <w:rFonts w:ascii="Arial" w:cs="Arial" w:eastAsia="Arial" w:hAnsi="Arial"/>
          <w:sz w:val="8"/>
          <w:szCs w:val="8"/>
          <w:color w:val="auto"/>
        </w:rPr>
        <w:t>This value is based on the Company’s TSR for the period beginning on the last trading day of the year preceding the earliest year presented in the table and ending on the last trading day of the covered year, which includes the reinvestment of dividends paid on our common stock during the relevant period.</w:t>
      </w:r>
    </w:p>
    <w:p>
      <w:pPr>
        <w:spacing w:after="0" w:line="165" w:lineRule="exact"/>
        <w:rPr>
          <w:rFonts w:ascii="Arial" w:cs="Arial" w:eastAsia="Arial" w:hAnsi="Arial"/>
          <w:sz w:val="8"/>
          <w:szCs w:val="8"/>
          <w:color w:val="auto"/>
        </w:rPr>
      </w:pPr>
    </w:p>
    <w:p>
      <w:pPr>
        <w:jc w:val="both"/>
        <w:ind w:left="328" w:hanging="328"/>
        <w:spacing w:after="0" w:line="295" w:lineRule="auto"/>
        <w:tabs>
          <w:tab w:leader="none" w:pos="323" w:val="left"/>
        </w:tabs>
        <w:numPr>
          <w:ilvl w:val="0"/>
          <w:numId w:val="66"/>
        </w:numPr>
        <w:rPr>
          <w:rFonts w:ascii="Arial" w:cs="Arial" w:eastAsia="Arial" w:hAnsi="Arial"/>
          <w:sz w:val="8"/>
          <w:szCs w:val="8"/>
          <w:color w:val="auto"/>
        </w:rPr>
      </w:pPr>
      <w:r>
        <w:rPr>
          <w:rFonts w:ascii="Arial" w:cs="Arial" w:eastAsia="Arial" w:hAnsi="Arial"/>
          <w:sz w:val="8"/>
          <w:szCs w:val="8"/>
          <w:color w:val="auto"/>
        </w:rPr>
        <w:t>The peer group used in this Pay Versus Performance table is the S&amp;P 600 Industrials Index, which is the same industry index the Company uses for purposes of the stock performance graph in our 2026 Annual Report on Form 10-K. We believe that the S&amp;P 600 Industrials Index is the best available published industry index, composed of companies with similar market capitalization and a mix of GICS classifications that reasonably reflect our diverse business activities, although most of the direct competitors in our various business units are either privately owned or are divisions of larger, publicly owned companies.</w:t>
      </w:r>
    </w:p>
    <w:p>
      <w:pPr>
        <w:spacing w:after="0" w:line="151" w:lineRule="exact"/>
        <w:rPr>
          <w:rFonts w:ascii="Arial" w:cs="Arial" w:eastAsia="Arial" w:hAnsi="Arial"/>
          <w:sz w:val="8"/>
          <w:szCs w:val="8"/>
          <w:color w:val="auto"/>
        </w:rPr>
      </w:pPr>
    </w:p>
    <w:p>
      <w:pPr>
        <w:ind w:left="328" w:hanging="328"/>
        <w:spacing w:after="0"/>
        <w:tabs>
          <w:tab w:leader="none" w:pos="328" w:val="left"/>
        </w:tabs>
        <w:numPr>
          <w:ilvl w:val="0"/>
          <w:numId w:val="66"/>
        </w:numPr>
        <w:rPr>
          <w:rFonts w:ascii="Arial" w:cs="Arial" w:eastAsia="Arial" w:hAnsi="Arial"/>
          <w:sz w:val="8"/>
          <w:szCs w:val="8"/>
          <w:color w:val="auto"/>
        </w:rPr>
      </w:pPr>
      <w:r>
        <w:rPr>
          <w:rFonts w:ascii="Arial" w:cs="Arial" w:eastAsia="Arial" w:hAnsi="Arial"/>
          <w:sz w:val="8"/>
          <w:szCs w:val="8"/>
          <w:color w:val="auto"/>
        </w:rPr>
        <w:t>Fiscal 2023 Net Income was incorrectly reported as $87,900,000 in the Pay Versus Performance table of our 2023 Proxy Statement. In this Proxy Statement, Fiscal 2023 Net Income has been updated to match the Company's 2023 Annual Report on Form 10-K.</w:t>
      </w:r>
    </w:p>
    <w:p>
      <w:pPr>
        <w:spacing w:after="0" w:line="79" w:lineRule="exact"/>
        <w:rPr>
          <w:rFonts w:ascii="Arial" w:cs="Arial" w:eastAsia="Arial" w:hAnsi="Arial"/>
          <w:sz w:val="8"/>
          <w:szCs w:val="8"/>
          <w:color w:val="auto"/>
        </w:rPr>
      </w:pPr>
    </w:p>
    <w:p>
      <w:pPr>
        <w:ind w:left="328" w:hanging="328"/>
        <w:spacing w:after="0" w:line="305" w:lineRule="auto"/>
        <w:tabs>
          <w:tab w:leader="none" w:pos="323" w:val="left"/>
        </w:tabs>
        <w:numPr>
          <w:ilvl w:val="0"/>
          <w:numId w:val="66"/>
        </w:numPr>
        <w:rPr>
          <w:rFonts w:ascii="Arial" w:cs="Arial" w:eastAsia="Arial" w:hAnsi="Arial"/>
          <w:sz w:val="8"/>
          <w:szCs w:val="8"/>
          <w:color w:val="auto"/>
        </w:rPr>
      </w:pPr>
      <w:r>
        <w:rPr>
          <w:rFonts w:ascii="Arial" w:cs="Arial" w:eastAsia="Arial" w:hAnsi="Arial"/>
          <w:sz w:val="8"/>
          <w:szCs w:val="8"/>
          <w:color w:val="auto"/>
        </w:rPr>
        <w:t xml:space="preserve">Our company-selected measure, which is the measure we believe represents the most important financial performance not otherwise presented in the table above that we use to link compensation actually paid to our PEO and Non-PEO NEOs for fiscal 2026 to our performance is Adjusted EBITDA, a non-GAAP financial measure which is further defined on page </w:t>
      </w:r>
      <w:r>
        <w:rPr>
          <w:rFonts w:ascii="Arial" w:cs="Arial" w:eastAsia="Arial" w:hAnsi="Arial"/>
          <w:sz w:val="8"/>
          <w:szCs w:val="8"/>
          <w:u w:val="single" w:color="auto"/>
          <w:color w:val="0000FF"/>
        </w:rPr>
        <w:t>36</w:t>
      </w:r>
      <w:r>
        <w:rPr>
          <w:rFonts w:ascii="Arial" w:cs="Arial" w:eastAsia="Arial" w:hAnsi="Arial"/>
          <w:sz w:val="8"/>
          <w:szCs w:val="8"/>
          <w:color w:val="auto"/>
        </w:rPr>
        <w:t>, and in Appendix A to this Proxy Statement.</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Most Important Financial Measures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lists the most important financial measures used by the Company to link compensation actually paid to the Company’s PEO and non-PEO NEOs to the Company's performance during fiscal 2026.</w:t>
      </w:r>
    </w:p>
    <w:p>
      <w:pPr>
        <w:spacing w:after="0" w:line="194" w:lineRule="exact"/>
        <w:rPr>
          <w:sz w:val="20"/>
          <w:szCs w:val="20"/>
          <w:color w:val="auto"/>
        </w:rPr>
      </w:pPr>
    </w:p>
    <w:p>
      <w:pPr>
        <w:ind w:left="4548"/>
        <w:spacing w:after="0"/>
        <w:rPr>
          <w:sz w:val="20"/>
          <w:szCs w:val="20"/>
          <w:color w:val="auto"/>
        </w:rPr>
      </w:pPr>
      <w:r>
        <w:rPr>
          <w:rFonts w:ascii="Arial" w:cs="Arial" w:eastAsia="Arial" w:hAnsi="Arial"/>
          <w:sz w:val="10"/>
          <w:szCs w:val="10"/>
          <w:color w:val="auto"/>
        </w:rPr>
        <w:t>Most Important Measures for Determining NEO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15875</wp:posOffset>
            </wp:positionV>
            <wp:extent cx="3188970" cy="525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88970" cy="525780"/>
                    </a:xfrm>
                    <a:prstGeom prst="rect">
                      <a:avLst/>
                    </a:prstGeom>
                    <a:noFill/>
                  </pic:spPr>
                </pic:pic>
              </a:graphicData>
            </a:graphic>
          </wp:anchor>
        </w:drawing>
      </w:r>
    </w:p>
    <w:p>
      <w:pPr>
        <w:spacing w:after="0" w:line="27" w:lineRule="exact"/>
        <w:rPr>
          <w:sz w:val="20"/>
          <w:szCs w:val="20"/>
          <w:color w:val="auto"/>
        </w:rPr>
      </w:pPr>
    </w:p>
    <w:p>
      <w:pPr>
        <w:ind w:left="3188"/>
        <w:spacing w:after="0"/>
        <w:rPr>
          <w:sz w:val="20"/>
          <w:szCs w:val="20"/>
          <w:color w:val="auto"/>
        </w:rPr>
      </w:pPr>
      <w:r>
        <w:rPr>
          <w:rFonts w:ascii="Arial" w:cs="Arial" w:eastAsia="Arial" w:hAnsi="Arial"/>
          <w:sz w:val="8"/>
          <w:szCs w:val="8"/>
          <w:color w:val="auto"/>
        </w:rPr>
        <w:t>Adjusted Earnings before Interest, Taxes, Depreciation and Amortization (either Consolidated or Operating Segment)</w:t>
      </w:r>
    </w:p>
    <w:p>
      <w:pPr>
        <w:spacing w:after="0" w:line="29" w:lineRule="exact"/>
        <w:rPr>
          <w:sz w:val="20"/>
          <w:szCs w:val="20"/>
          <w:color w:val="auto"/>
        </w:rPr>
      </w:pPr>
    </w:p>
    <w:p>
      <w:pPr>
        <w:ind w:left="5208"/>
        <w:spacing w:after="0"/>
        <w:rPr>
          <w:sz w:val="20"/>
          <w:szCs w:val="20"/>
          <w:color w:val="auto"/>
        </w:rPr>
      </w:pPr>
      <w:r>
        <w:rPr>
          <w:rFonts w:ascii="Arial" w:cs="Arial" w:eastAsia="Arial" w:hAnsi="Arial"/>
          <w:sz w:val="10"/>
          <w:szCs w:val="10"/>
          <w:color w:val="auto"/>
        </w:rPr>
        <w:t>(</w:t>
      </w:r>
      <w:r>
        <w:rPr>
          <w:rFonts w:ascii="Arial" w:cs="Arial" w:eastAsia="Arial" w:hAnsi="Arial"/>
          <w:sz w:val="11"/>
          <w:szCs w:val="11"/>
          <w:color w:val="auto"/>
        </w:rPr>
        <w:t>“</w:t>
      </w:r>
      <w:r>
        <w:rPr>
          <w:rFonts w:ascii="Arial" w:cs="Arial" w:eastAsia="Arial" w:hAnsi="Arial"/>
          <w:sz w:val="10"/>
          <w:szCs w:val="10"/>
          <w:color w:val="auto"/>
        </w:rPr>
        <w:t>Adjusted EBITDA</w:t>
      </w:r>
      <w:r>
        <w:rPr>
          <w:rFonts w:ascii="Arial" w:cs="Arial" w:eastAsia="Arial" w:hAnsi="Arial"/>
          <w:sz w:val="11"/>
          <w:szCs w:val="11"/>
          <w:color w:val="auto"/>
        </w:rPr>
        <w:t>”</w:t>
      </w:r>
      <w:r>
        <w:rPr>
          <w:rFonts w:ascii="Arial" w:cs="Arial" w:eastAsia="Arial" w:hAnsi="Arial"/>
          <w:sz w:val="10"/>
          <w:szCs w:val="10"/>
          <w:color w:val="auto"/>
        </w:rPr>
        <w:t>)</w:t>
      </w:r>
    </w:p>
    <w:p>
      <w:pPr>
        <w:spacing w:after="0" w:line="58" w:lineRule="exact"/>
        <w:rPr>
          <w:sz w:val="20"/>
          <w:szCs w:val="20"/>
          <w:color w:val="auto"/>
        </w:rPr>
      </w:pPr>
    </w:p>
    <w:p>
      <w:pPr>
        <w:ind w:left="5208"/>
        <w:spacing w:after="0"/>
        <w:rPr>
          <w:sz w:val="20"/>
          <w:szCs w:val="20"/>
          <w:color w:val="auto"/>
        </w:rPr>
      </w:pPr>
      <w:r>
        <w:rPr>
          <w:rFonts w:ascii="Arial" w:cs="Arial" w:eastAsia="Arial" w:hAnsi="Arial"/>
          <w:sz w:val="10"/>
          <w:szCs w:val="10"/>
          <w:color w:val="auto"/>
        </w:rPr>
        <w:t>Adjusted Diluted EPS</w:t>
      </w:r>
    </w:p>
    <w:p>
      <w:pPr>
        <w:spacing w:after="0" w:line="39" w:lineRule="exact"/>
        <w:rPr>
          <w:sz w:val="20"/>
          <w:szCs w:val="20"/>
          <w:color w:val="auto"/>
        </w:rPr>
      </w:pPr>
    </w:p>
    <w:p>
      <w:pPr>
        <w:jc w:val="center"/>
        <w:ind w:right="-27"/>
        <w:spacing w:after="0"/>
        <w:rPr>
          <w:sz w:val="20"/>
          <w:szCs w:val="20"/>
          <w:color w:val="auto"/>
        </w:rPr>
      </w:pPr>
      <w:r>
        <w:rPr>
          <w:rFonts w:ascii="Arial" w:cs="Arial" w:eastAsia="Arial" w:hAnsi="Arial"/>
          <w:sz w:val="10"/>
          <w:szCs w:val="10"/>
          <w:color w:val="auto"/>
        </w:rPr>
        <w:t>Adjusted Return on Invested Capital (</w:t>
      </w:r>
      <w:r>
        <w:rPr>
          <w:rFonts w:ascii="Arial" w:cs="Arial" w:eastAsia="Arial" w:hAnsi="Arial"/>
          <w:sz w:val="11"/>
          <w:szCs w:val="11"/>
          <w:color w:val="auto"/>
        </w:rPr>
        <w:t>“</w:t>
      </w:r>
      <w:r>
        <w:rPr>
          <w:rFonts w:ascii="Arial" w:cs="Arial" w:eastAsia="Arial" w:hAnsi="Arial"/>
          <w:sz w:val="10"/>
          <w:szCs w:val="10"/>
          <w:color w:val="auto"/>
        </w:rPr>
        <w:t>Adjusted ROIC")</w:t>
      </w:r>
    </w:p>
    <w:p>
      <w:pPr>
        <w:spacing w:after="0" w:line="70" w:lineRule="exact"/>
        <w:rPr>
          <w:sz w:val="20"/>
          <w:szCs w:val="20"/>
          <w:color w:val="auto"/>
        </w:rPr>
      </w:pPr>
    </w:p>
    <w:p>
      <w:pPr>
        <w:jc w:val="center"/>
        <w:ind w:right="-27"/>
        <w:spacing w:after="0"/>
        <w:rPr>
          <w:sz w:val="20"/>
          <w:szCs w:val="20"/>
          <w:color w:val="auto"/>
        </w:rPr>
      </w:pPr>
      <w:r>
        <w:rPr>
          <w:rFonts w:ascii="Arial" w:cs="Arial" w:eastAsia="Arial" w:hAnsi="Arial"/>
          <w:sz w:val="10"/>
          <w:szCs w:val="10"/>
          <w:color w:val="auto"/>
        </w:rPr>
        <w:t>Net Sales</w:t>
      </w: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0" w:right="29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i w:val="1"/>
          <w:iCs w:val="1"/>
          <w:color w:val="auto"/>
        </w:rPr>
        <w:t>Relationship Between Pay and Performance</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charts below present a graphical comparison of compensation actually paid to our current PEO, prior PEO and the average compensation actually paid to our Non-PEO NEOs set forth in the Pay Versus Performance Table above, as compared against the following performance measures: the Company’s (1) TSR, (2) Net Income, and (3)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3503295" cy="4474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03295"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431800</wp:posOffset>
            </wp:positionV>
            <wp:extent cx="3503295" cy="2171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Proposal 2: Advisory Approval of Apogee’s Executive Compensation</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Pursuant to Section 14A of the Exchange Act, we are providing shareholders with an advisory (non-binding) vote on the compensation of our Named Executive Officers as disclosed in this Proxy Statement in accordance with the rules of the SEC.</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We are asking our shareholders to indicate their support for the compensation of our Named Executive Officers. We believe that our executive compensation program is structured in the best manner possible to support our Company and its business objectives. It has been designed to implement certain core compensation principles, which include:</w:t>
      </w:r>
    </w:p>
    <w:p>
      <w:pPr>
        <w:spacing w:after="0" w:line="103" w:lineRule="exact"/>
        <w:rPr>
          <w:sz w:val="20"/>
          <w:szCs w:val="20"/>
          <w:color w:val="auto"/>
        </w:rPr>
      </w:pPr>
    </w:p>
    <w:p>
      <w:pPr>
        <w:ind w:left="420" w:hanging="212"/>
        <w:spacing w:after="0"/>
        <w:tabs>
          <w:tab w:leader="none" w:pos="4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Alignment of management’s interests with our shareholders’ interests to support long-term value creation through our equity compensation programs and share ownership guidelines;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Pay-for-performance, which is demonstrated by linking short-term cash incentives and long-term incentives to key financial measures;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Providing a flexible compensation package that reflects the cyclical nature of our business and fairly compensates our executives over our business cycle; and</w:t>
      </w:r>
    </w:p>
    <w:p>
      <w:pPr>
        <w:spacing w:after="0" w:line="78"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67"/>
        </w:numPr>
        <w:rPr>
          <w:rFonts w:ascii="Arial" w:cs="Arial" w:eastAsia="Arial" w:hAnsi="Arial"/>
          <w:sz w:val="12"/>
          <w:szCs w:val="12"/>
          <w:color w:val="auto"/>
        </w:rPr>
      </w:pPr>
      <w:r>
        <w:rPr>
          <w:rFonts w:ascii="Arial" w:cs="Arial" w:eastAsia="Arial" w:hAnsi="Arial"/>
          <w:sz w:val="12"/>
          <w:szCs w:val="12"/>
          <w:color w:val="auto"/>
        </w:rPr>
        <w:t>Linking compensation to market levels of compensation paid to executive officers in the competitive market so that we can attract, motivate and retain executives who are able to drive the long-term success of Apogee.</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We believe our executive compensation program reflects a strong pay-for-performance philosophy and is well-aligned with our shareholders’ long-term interests. Our executive compensation program is designed to motivate our executives, drive desirable behaviors, be competitive, promote retention and reward successful performance. We ask for your support for the reasons listed below.</w:t>
      </w:r>
    </w:p>
    <w:p>
      <w:pPr>
        <w:spacing w:after="0" w:line="103" w:lineRule="exact"/>
        <w:rPr>
          <w:sz w:val="20"/>
          <w:szCs w:val="20"/>
          <w:color w:val="auto"/>
        </w:rPr>
      </w:pPr>
    </w:p>
    <w:p>
      <w:pPr>
        <w:ind w:left="420" w:right="20" w:hanging="212"/>
        <w:spacing w:after="0" w:line="286" w:lineRule="auto"/>
        <w:tabs>
          <w:tab w:leader="none" w:pos="417" w:val="left"/>
        </w:tabs>
        <w:numPr>
          <w:ilvl w:val="0"/>
          <w:numId w:val="68"/>
        </w:numPr>
        <w:rPr>
          <w:rFonts w:ascii="Arial" w:cs="Arial" w:eastAsia="Arial" w:hAnsi="Arial"/>
          <w:sz w:val="12"/>
          <w:szCs w:val="12"/>
          <w:color w:val="auto"/>
        </w:rPr>
      </w:pPr>
      <w:r>
        <w:rPr>
          <w:rFonts w:ascii="Arial" w:cs="Arial" w:eastAsia="Arial" w:hAnsi="Arial"/>
          <w:sz w:val="12"/>
          <w:szCs w:val="12"/>
          <w:color w:val="auto"/>
        </w:rPr>
        <w:t>Our compensation programs are substantially tied to achievement of our key financial and business objectives. A significant portion of each Named Executive Officer’s potential total short-term cash compensation and long-term compensation is at-risk and linked to our operating performance.</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Our compensation programs are designed to take into account the cyclical nature of our business and to fairly compensate our executives over the non-residential construction cycle.</w:t>
      </w:r>
    </w:p>
    <w:p>
      <w:pPr>
        <w:spacing w:after="0" w:line="78"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68"/>
        </w:numPr>
        <w:rPr>
          <w:rFonts w:ascii="Arial" w:cs="Arial" w:eastAsia="Arial" w:hAnsi="Arial"/>
          <w:sz w:val="12"/>
          <w:szCs w:val="12"/>
          <w:color w:val="auto"/>
        </w:rPr>
      </w:pPr>
      <w:r>
        <w:rPr>
          <w:rFonts w:ascii="Arial" w:cs="Arial" w:eastAsia="Arial" w:hAnsi="Arial"/>
          <w:sz w:val="12"/>
          <w:szCs w:val="12"/>
          <w:color w:val="auto"/>
        </w:rPr>
        <w:t>Our compensation programs for executive officers deliver a significant portion of potential total compensation in the form of equity. If the value we deliver to our shareholders declines, so does the compensation we deliver to our executive officers.</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We have stock ownership guidelines for our executive officers.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We offer very limited perquisites to our executive officers and do not provide tax reimbursement or “gross-ups” on perquisites.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Each of our Named Executive Officers is expected to demonstrate exceptional individual performance in order to continue serving as a member of the executive team.</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We continue to refine our executive compensation program to reflect evolving executive compensation practices.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believe that the information provided above and within the “Executive Compensation” section of this Proxy Statement demonstrates that our executive compensation program was designed appropriately and is working to ensure management’s interests are aligned with our shareholders’ interests to support long-term value creation. Accordingly, we are asking our shareholders to vote “FOR” the following resolution at the Annual Meeting:</w:t>
      </w:r>
    </w:p>
    <w:p>
      <w:pPr>
        <w:spacing w:after="0" w:line="114" w:lineRule="exact"/>
        <w:rPr>
          <w:sz w:val="20"/>
          <w:szCs w:val="20"/>
          <w:color w:val="auto"/>
        </w:rPr>
      </w:pPr>
    </w:p>
    <w:p>
      <w:pPr>
        <w:ind w:left="420"/>
        <w:spacing w:after="0" w:line="286" w:lineRule="auto"/>
        <w:rPr>
          <w:sz w:val="20"/>
          <w:szCs w:val="20"/>
          <w:color w:val="auto"/>
        </w:rPr>
      </w:pPr>
      <w:r>
        <w:rPr>
          <w:rFonts w:ascii="Arial" w:cs="Arial" w:eastAsia="Arial" w:hAnsi="Arial"/>
          <w:sz w:val="12"/>
          <w:szCs w:val="12"/>
          <w:color w:val="auto"/>
        </w:rPr>
        <w:t>“RESOLVED, that the shareholders approve, on an advisory basis, the compensation of Apogee’s Named Executive Officers, as disclosed in Apogee’s Proxy Statement for the 2026 Annual Meeting of Shareholders pursuant to Item 402 of Regulation S-K, including the Compensation Discussion and Analysis, compensation tables and other related narrative disclosures.”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77" w:name="page78"/>
    <w:bookmarkEnd w:id="77"/>
    <w:p>
      <w:pPr>
        <w:jc w:val="both"/>
        <w:spacing w:after="0" w:line="268" w:lineRule="auto"/>
        <w:rPr>
          <w:sz w:val="20"/>
          <w:szCs w:val="20"/>
          <w:color w:val="auto"/>
        </w:rPr>
      </w:pPr>
      <w:r>
        <w:rPr>
          <w:rFonts w:ascii="Arial" w:cs="Arial" w:eastAsia="Arial" w:hAnsi="Arial"/>
          <w:sz w:val="12"/>
          <w:szCs w:val="12"/>
          <w:color w:val="auto"/>
        </w:rPr>
        <w:t>This advisory vote on executive compensation is not binding on Apogee, our Compensation Committee or our Board of Directors. However, our Compensation Committee and Board of Directors will take into account the result of the vote when determining future executive compensation arrangements. We currently conduct annual advisory votes on executive compensation, and we expect to conduct our next advisory vote at our 2027 Annual Meeting of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Recommendation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Board of Directors recommends that you vote FOR the Say on Pay Proposal. Proxies will be voted FOR the proposal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78" w:name="page79"/>
    <w:bookmarkEnd w:id="78"/>
    <w:p>
      <w:pPr>
        <w:ind w:left="1100"/>
        <w:spacing w:after="0"/>
        <w:rPr>
          <w:sz w:val="20"/>
          <w:szCs w:val="20"/>
          <w:color w:val="auto"/>
        </w:rPr>
      </w:pPr>
      <w:r>
        <w:rPr>
          <w:rFonts w:ascii="Arial" w:cs="Arial" w:eastAsia="Arial" w:hAnsi="Arial"/>
          <w:sz w:val="17"/>
          <w:szCs w:val="17"/>
          <w:b w:val="1"/>
          <w:bCs w:val="1"/>
          <w:color w:val="auto"/>
        </w:rPr>
        <w:t>Proposal 3: Approval of The Apogee Enterprises, Inc. 2019 Stock Incentive Plan, as Amended and Restated (2026)</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Background and Purpose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Board, on the recommendation of our Compensation Committee, approved on April 23, 2026 an amendment and restatement to the Apogee Enterprises, Inc. 2019 Stock Incentive Plan, as Amended and Restated (2026) (the “2019 Stock Plan”), subject to shareholder approval at the Annual Meeting. The proposed amendment and restatement would add an additional 800,000 shares to the 2019 Stock Plan share reserve. As of February 28, 2026, the last day of fiscal 2026, there were approximately 390,862 shares of our common stock remaining available for future awards under the current 2019 Stock Plan, which is the Company’s only equity-based compensation plan under which awards may be made to executive officers and other employees, other than the Legacy Partnership Plan, which has been frozen since 2008, pursuant to which 3,822 shares are available for issuance. The 2019 Stock Plan was originally approved by our shareholders on June 23, 2021. The purpose of the 2019 Stock Plan is to promote the interests of the Company and its shareholders by aiding the Company in attracting and retaining employees, officers, consultants and independent contractors capable of assuring the future success of the Company, by providing such persons with opportunities for stock ownership in the Company and to align the interests of such persons with those of our shareholders. The Board believes that it is in the best interest of the Company and our shareholders to further increase the maximum number of shares issuable under the 2019 Stock Plan to enable the Company to continue offering meaningful equity incentives to eligible participants. The Compensation Committee (for purposes of this summary, the “Committee”) administers the 2019 Stock Plan. The following discussion and summary of the material terms of the 2019 Stock Plan is qualified in its entirety by reference to the full text of the 2019 Stock Plan which is set forth in Appendix B to this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Proposed Amendment to the 2019 Stock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only change to the 2019 Stock Plan is to increase the aggregate number of shares that may be issued under the 2019 Stock Plan by 800,000 shares, from a total of 2,150,000 shares to 2,950,000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Key Features of the 2019 Stock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features of the 2019 Stock Plan reflect equity incentive plan “best practices” intended to protect the interests of our shareholders:</w:t>
      </w:r>
    </w:p>
    <w:p>
      <w:pPr>
        <w:spacing w:after="0" w:line="150" w:lineRule="exact"/>
        <w:rPr>
          <w:sz w:val="20"/>
          <w:szCs w:val="20"/>
          <w:color w:val="auto"/>
        </w:rPr>
      </w:pPr>
    </w:p>
    <w:p>
      <w:pPr>
        <w:jc w:val="both"/>
        <w:ind w:left="420" w:hanging="212"/>
        <w:spacing w:after="0" w:line="268" w:lineRule="auto"/>
        <w:tabs>
          <w:tab w:leader="none" w:pos="417"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Limit on Shares Available for Awards</w:t>
      </w:r>
      <w:r>
        <w:rPr>
          <w:rFonts w:ascii="Arial" w:cs="Arial" w:eastAsia="Arial" w:hAnsi="Arial"/>
          <w:sz w:val="12"/>
          <w:szCs w:val="12"/>
          <w:color w:val="auto"/>
        </w:rPr>
        <w:t>. Under the 2019 Stock Plan, the aggregate number of shares of the Company’s common stock that may be issued is 2,950,000 shares, assuming approval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Proposal at the Annual Meeting. All shares awarded, regardless of the type of award, will count against the 2019 Stock Plan’s reserve on a 1:1 basis for each share subject to the award. On the record date, the closing price of our common stock on the Nasdaq Global Select Market was $37.44 per share.</w:t>
      </w:r>
    </w:p>
    <w:p>
      <w:pPr>
        <w:spacing w:after="0" w:line="41"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Individual Limits on Shares Issued. </w:t>
      </w:r>
      <w:r>
        <w:rPr>
          <w:rFonts w:ascii="Arial" w:cs="Arial" w:eastAsia="Arial" w:hAnsi="Arial"/>
          <w:sz w:val="12"/>
          <w:szCs w:val="12"/>
          <w:color w:val="auto"/>
        </w:rPr>
        <w:t>The aggregate number of shares of the Company’s common stock that may be issued in a calendar year under the 2019 Stock Plan to an individual employee or</w:t>
      </w:r>
      <w:r>
        <w:rPr>
          <w:rFonts w:ascii="Arial" w:cs="Arial" w:eastAsia="Arial" w:hAnsi="Arial"/>
          <w:sz w:val="12"/>
          <w:szCs w:val="12"/>
          <w:b w:val="1"/>
          <w:bCs w:val="1"/>
          <w:color w:val="auto"/>
        </w:rPr>
        <w:t xml:space="preserve"> </w:t>
      </w:r>
      <w:r>
        <w:rPr>
          <w:rFonts w:ascii="Arial" w:cs="Arial" w:eastAsia="Arial" w:hAnsi="Arial"/>
          <w:sz w:val="12"/>
          <w:szCs w:val="12"/>
          <w:color w:val="auto"/>
        </w:rPr>
        <w:t>officer is 200,000 shares and, in the case of a consultant, independent contractor or advisor is 30,000 shares.</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No Evergreen Provision</w:t>
      </w:r>
      <w:r>
        <w:rPr>
          <w:rFonts w:ascii="Arial" w:cs="Arial" w:eastAsia="Arial" w:hAnsi="Arial"/>
          <w:sz w:val="12"/>
          <w:szCs w:val="12"/>
          <w:color w:val="auto"/>
        </w:rPr>
        <w:t>. The 2019 Stock Plan does not contain an “evergreen” provision.</w:t>
      </w:r>
    </w:p>
    <w:p>
      <w:pPr>
        <w:spacing w:after="0" w:line="78" w:lineRule="exact"/>
        <w:rPr>
          <w:rFonts w:ascii="Arial" w:cs="Arial" w:eastAsia="Arial" w:hAnsi="Arial"/>
          <w:sz w:val="12"/>
          <w:szCs w:val="12"/>
          <w:color w:val="auto"/>
        </w:rPr>
      </w:pPr>
    </w:p>
    <w:p>
      <w:pPr>
        <w:jc w:val="both"/>
        <w:ind w:left="420" w:hanging="212"/>
        <w:spacing w:after="0" w:line="268" w:lineRule="auto"/>
        <w:tabs>
          <w:tab w:leader="none" w:pos="417"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No Liberal Share “Recycling.” </w:t>
      </w:r>
      <w:r>
        <w:rPr>
          <w:rFonts w:ascii="Arial" w:cs="Arial" w:eastAsia="Arial" w:hAnsi="Arial"/>
          <w:sz w:val="12"/>
          <w:szCs w:val="12"/>
          <w:color w:val="auto"/>
        </w:rPr>
        <w:t>The 2019 Stock Plan provides that any shares (i) surrendered to pay the exercise price of an option, (ii) withheld by the Company or tendered to satisfy tax withholding</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with respect to any award, (iii) covered by a stock settled stock appreciation right not issued in connection with settlement upon exercise, or (iv) repurchased by the Company using option proceeds will not be added back (“recycled”) to the 2019 Stock Plan.</w:t>
      </w:r>
    </w:p>
    <w:p>
      <w:pPr>
        <w:spacing w:after="0" w:line="4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No Granting of Discounted Stock Options or Stock Appreciation Rights</w:t>
      </w:r>
      <w:r>
        <w:rPr>
          <w:rFonts w:ascii="Arial" w:cs="Arial" w:eastAsia="Arial" w:hAnsi="Arial"/>
          <w:sz w:val="12"/>
          <w:szCs w:val="12"/>
          <w:color w:val="auto"/>
        </w:rPr>
        <w:t>. Stock options and stock appreciation rights (“SARs”) must have an exercise price equal to or greater than the fair market value</w:t>
      </w:r>
      <w:r>
        <w:rPr>
          <w:rFonts w:ascii="Arial" w:cs="Arial" w:eastAsia="Arial" w:hAnsi="Arial"/>
          <w:sz w:val="12"/>
          <w:szCs w:val="12"/>
          <w:b w:val="1"/>
          <w:bCs w:val="1"/>
          <w:color w:val="auto"/>
        </w:rPr>
        <w:t xml:space="preserve"> </w:t>
      </w:r>
      <w:r>
        <w:rPr>
          <w:rFonts w:ascii="Arial" w:cs="Arial" w:eastAsia="Arial" w:hAnsi="Arial"/>
          <w:sz w:val="12"/>
          <w:szCs w:val="12"/>
          <w:color w:val="auto"/>
        </w:rPr>
        <w:t>of our common stock on the date of grant (unless such award is granted in substitution for a stock option or SAR previously granted by an entity that is acquired by or merged with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71" w:right="299" w:bottom="1440" w:gutter="0" w:footer="0" w:header="0"/>
        </w:sectPr>
      </w:pPr>
    </w:p>
    <w:bookmarkStart w:id="79" w:name="page80"/>
    <w:bookmarkEnd w:id="79"/>
    <w:p>
      <w:pPr>
        <w:ind w:left="420" w:hanging="212"/>
        <w:spacing w:after="0" w:line="286" w:lineRule="auto"/>
        <w:tabs>
          <w:tab w:leader="none" w:pos="417"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No Repricing of Stock Options or SARs. </w:t>
      </w:r>
      <w:r>
        <w:rPr>
          <w:rFonts w:ascii="Arial" w:cs="Arial" w:eastAsia="Arial" w:hAnsi="Arial"/>
          <w:sz w:val="12"/>
          <w:szCs w:val="12"/>
          <w:color w:val="auto"/>
        </w:rPr>
        <w:t>The 2019 Stock Plan prohibits the repricing of stock options and SARs (including a prohibition on the repurchase of “underwater” stock options or stock</w:t>
      </w:r>
      <w:r>
        <w:rPr>
          <w:rFonts w:ascii="Arial" w:cs="Arial" w:eastAsia="Arial" w:hAnsi="Arial"/>
          <w:sz w:val="12"/>
          <w:szCs w:val="12"/>
          <w:b w:val="1"/>
          <w:bCs w:val="1"/>
          <w:color w:val="auto"/>
        </w:rPr>
        <w:t xml:space="preserve"> </w:t>
      </w:r>
      <w:r>
        <w:rPr>
          <w:rFonts w:ascii="Arial" w:cs="Arial" w:eastAsia="Arial" w:hAnsi="Arial"/>
          <w:sz w:val="12"/>
          <w:szCs w:val="12"/>
          <w:color w:val="auto"/>
        </w:rPr>
        <w:t>appreciation rights for cash or other securities) without shareholder approval.</w:t>
      </w:r>
    </w:p>
    <w:p>
      <w:pPr>
        <w:spacing w:after="0" w:line="31"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No Liberal Change-in-Control. </w:t>
      </w:r>
      <w:r>
        <w:rPr>
          <w:rFonts w:ascii="Arial" w:cs="Arial" w:eastAsia="Arial" w:hAnsi="Arial"/>
          <w:sz w:val="12"/>
          <w:szCs w:val="12"/>
          <w:color w:val="auto"/>
        </w:rPr>
        <w:t>The 2019 Stock Plan prohibits any award agreement from having a change-in-control provision that has the effect of accelerating the exercisability of any award or the lapse</w:t>
      </w:r>
      <w:r>
        <w:rPr>
          <w:rFonts w:ascii="Arial" w:cs="Arial" w:eastAsia="Arial" w:hAnsi="Arial"/>
          <w:sz w:val="12"/>
          <w:szCs w:val="12"/>
          <w:b w:val="1"/>
          <w:bCs w:val="1"/>
          <w:color w:val="auto"/>
        </w:rPr>
        <w:t xml:space="preserve"> </w:t>
      </w:r>
      <w:r>
        <w:rPr>
          <w:rFonts w:ascii="Arial" w:cs="Arial" w:eastAsia="Arial" w:hAnsi="Arial"/>
          <w:sz w:val="12"/>
          <w:szCs w:val="12"/>
          <w:color w:val="auto"/>
        </w:rPr>
        <w:t>of restrictions relating to any award upon only the announcement or shareholder approval (rather than the consummation of) a change-in-control transaction.</w:t>
      </w:r>
    </w:p>
    <w:p>
      <w:pPr>
        <w:spacing w:after="0" w:line="31" w:lineRule="exact"/>
        <w:rPr>
          <w:rFonts w:ascii="Arial" w:cs="Arial" w:eastAsia="Arial" w:hAnsi="Arial"/>
          <w:sz w:val="12"/>
          <w:szCs w:val="12"/>
          <w:color w:val="auto"/>
        </w:rPr>
      </w:pPr>
    </w:p>
    <w:p>
      <w:pPr>
        <w:jc w:val="both"/>
        <w:ind w:left="420" w:hanging="212"/>
        <w:spacing w:after="0" w:line="268" w:lineRule="auto"/>
        <w:tabs>
          <w:tab w:leader="none" w:pos="417"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No Dividends or Dividend Equivalents Paid on Unvested Awards. </w:t>
      </w:r>
      <w:r>
        <w:rPr>
          <w:rFonts w:ascii="Arial" w:cs="Arial" w:eastAsia="Arial" w:hAnsi="Arial"/>
          <w:sz w:val="12"/>
          <w:szCs w:val="12"/>
          <w:color w:val="auto"/>
        </w:rPr>
        <w:t>The 2019 Stock Plan prohibits the payment of dividends or dividend equivalents on awards until those awards are earned and vested.</w:t>
      </w:r>
      <w:r>
        <w:rPr>
          <w:rFonts w:ascii="Arial" w:cs="Arial" w:eastAsia="Arial" w:hAnsi="Arial"/>
          <w:sz w:val="12"/>
          <w:szCs w:val="12"/>
          <w:b w:val="1"/>
          <w:bCs w:val="1"/>
          <w:color w:val="auto"/>
        </w:rPr>
        <w:t xml:space="preserve"> </w:t>
      </w:r>
      <w:r>
        <w:rPr>
          <w:rFonts w:ascii="Arial" w:cs="Arial" w:eastAsia="Arial" w:hAnsi="Arial"/>
          <w:sz w:val="12"/>
          <w:szCs w:val="12"/>
          <w:color w:val="auto"/>
        </w:rPr>
        <w:t>In addition, the 2019 Stock Plan prohibits the granting of dividend equivalents with respect to stock options, SARs or an award the value of which is based solely on an increase in the value of the Company’s shares after the grant of the award.</w:t>
      </w:r>
    </w:p>
    <w:p>
      <w:pPr>
        <w:spacing w:after="0" w:line="4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Awards Subject to Forfeiture or Clawback. </w:t>
      </w:r>
      <w:r>
        <w:rPr>
          <w:rFonts w:ascii="Arial" w:cs="Arial" w:eastAsia="Arial" w:hAnsi="Arial"/>
          <w:sz w:val="12"/>
          <w:szCs w:val="12"/>
          <w:color w:val="auto"/>
        </w:rPr>
        <w:t>Awards under the 2019 Stock Plan will be subject to any Company recovery or clawback policy, as well as any other forfeiture and penalty conditions</w:t>
      </w:r>
      <w:r>
        <w:rPr>
          <w:rFonts w:ascii="Arial" w:cs="Arial" w:eastAsia="Arial" w:hAnsi="Arial"/>
          <w:sz w:val="12"/>
          <w:szCs w:val="12"/>
          <w:b w:val="1"/>
          <w:bCs w:val="1"/>
          <w:color w:val="auto"/>
        </w:rPr>
        <w:t xml:space="preserve"> </w:t>
      </w:r>
      <w:r>
        <w:rPr>
          <w:rFonts w:ascii="Arial" w:cs="Arial" w:eastAsia="Arial" w:hAnsi="Arial"/>
          <w:sz w:val="12"/>
          <w:szCs w:val="12"/>
          <w:color w:val="auto"/>
        </w:rPr>
        <w:t>determined by the Committee.</w:t>
      </w:r>
    </w:p>
    <w:p>
      <w:pPr>
        <w:spacing w:after="0" w:line="3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Minimum Vesting Period. </w:t>
      </w:r>
      <w:r>
        <w:rPr>
          <w:rFonts w:ascii="Arial" w:cs="Arial" w:eastAsia="Arial" w:hAnsi="Arial"/>
          <w:sz w:val="12"/>
          <w:szCs w:val="12"/>
          <w:color w:val="auto"/>
        </w:rPr>
        <w:t>A maximum of 5% of the aggregate number of shares available for issuance under the 2019 Stock Plan may be issued without a vesting period of at least one year following the</w:t>
      </w:r>
      <w:r>
        <w:rPr>
          <w:rFonts w:ascii="Arial" w:cs="Arial" w:eastAsia="Arial" w:hAnsi="Arial"/>
          <w:sz w:val="12"/>
          <w:szCs w:val="12"/>
          <w:b w:val="1"/>
          <w:bCs w:val="1"/>
          <w:color w:val="auto"/>
        </w:rPr>
        <w:t xml:space="preserve"> </w:t>
      </w:r>
      <w:r>
        <w:rPr>
          <w:rFonts w:ascii="Arial" w:cs="Arial" w:eastAsia="Arial" w:hAnsi="Arial"/>
          <w:sz w:val="12"/>
          <w:szCs w:val="12"/>
          <w:color w:val="auto"/>
        </w:rPr>
        <w:t>date of grant. All other awards will have a minimum vesting period of at least one year.</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Independent Committee Administration. </w:t>
      </w:r>
      <w:r>
        <w:rPr>
          <w:rFonts w:ascii="Arial" w:cs="Arial" w:eastAsia="Arial" w:hAnsi="Arial"/>
          <w:sz w:val="12"/>
          <w:szCs w:val="12"/>
          <w:color w:val="auto"/>
        </w:rPr>
        <w:t>The 2019 Stock Plan will be administered by a committee of the Board of Directors comprised entirely of independent directors.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Committee expects that the number of shares available, if approved by our shareholders, will satisfy equity compensation needs for approximately three years based on historical grant practices.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Determination of Number of Shares for the 2019 Stock Plan</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In setting the number of shares authorized under the 2019 Stock Plan for which shareholder approval is being sought, the Committee and the Board of Directors considered, among other factors, the historical amounts of equity awards granted by the Company and the potential future grants over the next three years. Below is information regarding the Company’s burn rates for all grants of equity under all shareholder-approved equity plans for the past three fiscal years and the Company’s total potential dilution.</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i w:val="1"/>
          <w:iCs w:val="1"/>
          <w:color w:val="auto"/>
        </w:rPr>
        <w:t>Burn Rate</w:t>
      </w:r>
      <w:r>
        <w:rPr>
          <w:rFonts w:ascii="Arial" w:cs="Arial" w:eastAsia="Arial" w:hAnsi="Arial"/>
          <w:sz w:val="12"/>
          <w:szCs w:val="12"/>
          <w:color w:val="auto"/>
        </w:rPr>
        <w:t>. Burn rate is a measure of the level at which a company uses shares available for grant under its equity compensation plans, and is an important factor for investors concerned about shareholder dilution.</w:t>
      </w:r>
      <w:r>
        <w:rPr>
          <w:rFonts w:ascii="Arial" w:cs="Arial" w:eastAsia="Arial" w:hAnsi="Arial"/>
          <w:sz w:val="12"/>
          <w:szCs w:val="12"/>
          <w:i w:val="1"/>
          <w:iCs w:val="1"/>
          <w:color w:val="auto"/>
        </w:rPr>
        <w:t xml:space="preserve"> </w:t>
      </w:r>
      <w:r>
        <w:rPr>
          <w:rFonts w:ascii="Arial" w:cs="Arial" w:eastAsia="Arial" w:hAnsi="Arial"/>
          <w:sz w:val="12"/>
          <w:szCs w:val="12"/>
          <w:color w:val="auto"/>
        </w:rPr>
        <w:t>Burn rate is defined as, in a given fiscal year, the number of shares subject to equity awards granted divided by the weighted average number of shares outstanding. In setting and recommending to our shareholders the number of shares to be authorized under the 2019 Stock Plan, the Board considered the Company’s burn rate for each of the past three fiscal years. The calculation of our burn rate for each year is shown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200" w:type="dxa"/>
            <w:vAlign w:val="bottom"/>
          </w:tcPr>
          <w:p>
            <w:pPr>
              <w:spacing w:after="0"/>
              <w:rPr>
                <w:sz w:val="10"/>
                <w:szCs w:val="1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05445E"/>
                <w:w w:val="95"/>
              </w:rPr>
              <w:t>Fiscal Year Ended</w:t>
            </w:r>
          </w:p>
        </w:tc>
        <w:tc>
          <w:tcPr>
            <w:tcW w:w="23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05445E"/>
                <w:w w:val="95"/>
              </w:rPr>
              <w:t>Fiscal Year Ended</w:t>
            </w:r>
          </w:p>
        </w:tc>
        <w:tc>
          <w:tcPr>
            <w:tcW w:w="2260" w:type="dxa"/>
            <w:vAlign w:val="bottom"/>
          </w:tcPr>
          <w:p>
            <w:pPr>
              <w:jc w:val="center"/>
              <w:spacing w:after="0"/>
              <w:rPr>
                <w:sz w:val="20"/>
                <w:szCs w:val="20"/>
                <w:color w:val="auto"/>
              </w:rPr>
            </w:pPr>
            <w:r>
              <w:rPr>
                <w:rFonts w:ascii="Arial" w:cs="Arial" w:eastAsia="Arial" w:hAnsi="Arial"/>
                <w:sz w:val="10"/>
                <w:szCs w:val="10"/>
                <w:b w:val="1"/>
                <w:bCs w:val="1"/>
                <w:color w:val="05445E"/>
                <w:w w:val="95"/>
              </w:rPr>
              <w:t>Fiscal Year Ended</w:t>
            </w:r>
          </w:p>
        </w:tc>
      </w:tr>
      <w:tr>
        <w:trPr>
          <w:trHeight w:val="136"/>
        </w:trPr>
        <w:tc>
          <w:tcPr>
            <w:tcW w:w="4200" w:type="dxa"/>
            <w:vAlign w:val="bottom"/>
          </w:tcPr>
          <w:p>
            <w:pPr>
              <w:spacing w:after="0"/>
              <w:rPr>
                <w:sz w:val="11"/>
                <w:szCs w:val="11"/>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6"/>
              </w:rPr>
              <w:t>February 28, 2026</w:t>
            </w:r>
          </w:p>
        </w:tc>
        <w:tc>
          <w:tcPr>
            <w:tcW w:w="23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05445E"/>
                <w:w w:val="94"/>
              </w:rPr>
              <w:t>March 1, 2025</w:t>
            </w:r>
          </w:p>
        </w:tc>
        <w:tc>
          <w:tcPr>
            <w:tcW w:w="2260" w:type="dxa"/>
            <w:vAlign w:val="bottom"/>
          </w:tcPr>
          <w:p>
            <w:pPr>
              <w:jc w:val="center"/>
              <w:spacing w:after="0"/>
              <w:rPr>
                <w:sz w:val="20"/>
                <w:szCs w:val="20"/>
                <w:color w:val="auto"/>
              </w:rPr>
            </w:pPr>
            <w:r>
              <w:rPr>
                <w:rFonts w:ascii="Arial" w:cs="Arial" w:eastAsia="Arial" w:hAnsi="Arial"/>
                <w:sz w:val="10"/>
                <w:szCs w:val="10"/>
                <w:b w:val="1"/>
                <w:bCs w:val="1"/>
                <w:color w:val="05445E"/>
                <w:w w:val="94"/>
              </w:rPr>
              <w:t>March 2, 2024</w:t>
            </w:r>
          </w:p>
        </w:tc>
      </w:tr>
      <w:tr>
        <w:trPr>
          <w:trHeight w:val="174"/>
        </w:trPr>
        <w:tc>
          <w:tcPr>
            <w:tcW w:w="420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2"/>
                <w:szCs w:val="12"/>
                <w:color w:val="auto"/>
              </w:rPr>
              <w:t>Full Value Awards Granted</w:t>
            </w:r>
          </w:p>
        </w:tc>
        <w:tc>
          <w:tcPr>
            <w:tcW w:w="2260" w:type="dxa"/>
            <w:vAlign w:val="bottom"/>
            <w:tcBorders>
              <w:top w:val="single" w:sz="8" w:color="auto"/>
            </w:tcBorders>
            <w:shd w:val="clear" w:color="auto" w:fill="DBDBDB"/>
          </w:tcPr>
          <w:p>
            <w:pPr>
              <w:jc w:val="right"/>
              <w:ind w:right="323"/>
              <w:spacing w:after="0"/>
              <w:rPr>
                <w:sz w:val="20"/>
                <w:szCs w:val="20"/>
                <w:color w:val="auto"/>
              </w:rPr>
            </w:pPr>
            <w:r>
              <w:rPr>
                <w:rFonts w:ascii="Arial" w:cs="Arial" w:eastAsia="Arial" w:hAnsi="Arial"/>
                <w:sz w:val="12"/>
                <w:szCs w:val="12"/>
                <w:color w:val="auto"/>
              </w:rPr>
              <w:t>440,956</w:t>
            </w:r>
          </w:p>
        </w:tc>
        <w:tc>
          <w:tcPr>
            <w:tcW w:w="80" w:type="dxa"/>
            <w:vAlign w:val="bottom"/>
            <w:tcBorders>
              <w:top w:val="single" w:sz="8" w:color="DBDBDB"/>
            </w:tcBorders>
            <w:shd w:val="clear" w:color="auto" w:fill="DBDBDB"/>
          </w:tcPr>
          <w:p>
            <w:pPr>
              <w:spacing w:after="0"/>
              <w:rPr>
                <w:sz w:val="15"/>
                <w:szCs w:val="15"/>
                <w:color w:val="auto"/>
              </w:rPr>
            </w:pPr>
          </w:p>
        </w:tc>
        <w:tc>
          <w:tcPr>
            <w:tcW w:w="2260" w:type="dxa"/>
            <w:vAlign w:val="bottom"/>
            <w:tcBorders>
              <w:top w:val="single" w:sz="8" w:color="auto"/>
            </w:tcBorders>
            <w:shd w:val="clear" w:color="auto" w:fill="DBDBDB"/>
          </w:tcPr>
          <w:p>
            <w:pPr>
              <w:jc w:val="right"/>
              <w:ind w:right="243"/>
              <w:spacing w:after="0"/>
              <w:rPr>
                <w:sz w:val="20"/>
                <w:szCs w:val="20"/>
                <w:color w:val="auto"/>
              </w:rPr>
            </w:pPr>
            <w:r>
              <w:rPr>
                <w:rFonts w:ascii="Arial" w:cs="Arial" w:eastAsia="Arial" w:hAnsi="Arial"/>
                <w:sz w:val="12"/>
                <w:szCs w:val="12"/>
                <w:color w:val="auto"/>
              </w:rPr>
              <w:t>214,141</w:t>
            </w:r>
          </w:p>
        </w:tc>
        <w:tc>
          <w:tcPr>
            <w:tcW w:w="80" w:type="dxa"/>
            <w:vAlign w:val="bottom"/>
            <w:tcBorders>
              <w:top w:val="single" w:sz="8" w:color="DBDBDB"/>
            </w:tcBorders>
            <w:shd w:val="clear" w:color="auto" w:fill="DBDBDB"/>
          </w:tcPr>
          <w:p>
            <w:pPr>
              <w:spacing w:after="0"/>
              <w:rPr>
                <w:sz w:val="15"/>
                <w:szCs w:val="15"/>
                <w:color w:val="auto"/>
              </w:rPr>
            </w:pPr>
          </w:p>
        </w:tc>
        <w:tc>
          <w:tcPr>
            <w:tcW w:w="2260" w:type="dxa"/>
            <w:vAlign w:val="bottom"/>
            <w:tcBorders>
              <w:top w:val="single" w:sz="8" w:color="auto"/>
            </w:tcBorders>
            <w:shd w:val="clear" w:color="auto" w:fill="DBDBDB"/>
          </w:tcPr>
          <w:p>
            <w:pPr>
              <w:jc w:val="right"/>
              <w:ind w:right="243"/>
              <w:spacing w:after="0"/>
              <w:rPr>
                <w:sz w:val="20"/>
                <w:szCs w:val="20"/>
                <w:color w:val="auto"/>
              </w:rPr>
            </w:pPr>
            <w:r>
              <w:rPr>
                <w:rFonts w:ascii="Arial" w:cs="Arial" w:eastAsia="Arial" w:hAnsi="Arial"/>
                <w:sz w:val="12"/>
                <w:szCs w:val="12"/>
                <w:color w:val="auto"/>
              </w:rPr>
              <w:t>247,621</w:t>
            </w:r>
          </w:p>
        </w:tc>
      </w:tr>
      <w:tr>
        <w:trPr>
          <w:trHeight w:val="172"/>
        </w:trPr>
        <w:tc>
          <w:tcPr>
            <w:tcW w:w="4200" w:type="dxa"/>
            <w:vAlign w:val="bottom"/>
          </w:tcPr>
          <w:p>
            <w:pPr>
              <w:spacing w:after="0"/>
              <w:rPr>
                <w:sz w:val="20"/>
                <w:szCs w:val="20"/>
                <w:color w:val="auto"/>
              </w:rPr>
            </w:pPr>
            <w:r>
              <w:rPr>
                <w:rFonts w:ascii="Arial" w:cs="Arial" w:eastAsia="Arial" w:hAnsi="Arial"/>
                <w:sz w:val="12"/>
                <w:szCs w:val="12"/>
                <w:color w:val="auto"/>
              </w:rPr>
              <w:t>Stock Options Awards Granted</w:t>
            </w:r>
          </w:p>
        </w:tc>
        <w:tc>
          <w:tcPr>
            <w:tcW w:w="2340" w:type="dxa"/>
            <w:vAlign w:val="bottom"/>
            <w:gridSpan w:val="2"/>
          </w:tcPr>
          <w:p>
            <w:pPr>
              <w:ind w:left="1540"/>
              <w:spacing w:after="0"/>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226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8"/>
        </w:trPr>
        <w:tc>
          <w:tcPr>
            <w:tcW w:w="4200" w:type="dxa"/>
            <w:vAlign w:val="bottom"/>
            <w:shd w:val="clear" w:color="auto" w:fill="DBDBDB"/>
          </w:tcPr>
          <w:p>
            <w:pPr>
              <w:spacing w:after="0"/>
              <w:rPr>
                <w:sz w:val="20"/>
                <w:szCs w:val="20"/>
                <w:color w:val="auto"/>
              </w:rPr>
            </w:pPr>
            <w:r>
              <w:rPr>
                <w:rFonts w:ascii="Arial" w:cs="Arial" w:eastAsia="Arial" w:hAnsi="Arial"/>
                <w:sz w:val="12"/>
                <w:szCs w:val="12"/>
                <w:color w:val="auto"/>
              </w:rPr>
              <w:t>Total Awards Granted</w:t>
            </w:r>
          </w:p>
        </w:tc>
        <w:tc>
          <w:tcPr>
            <w:tcW w:w="2260" w:type="dxa"/>
            <w:vAlign w:val="bottom"/>
            <w:shd w:val="clear" w:color="auto" w:fill="DBDBDB"/>
          </w:tcPr>
          <w:p>
            <w:pPr>
              <w:jc w:val="right"/>
              <w:ind w:right="323"/>
              <w:spacing w:after="0"/>
              <w:rPr>
                <w:sz w:val="20"/>
                <w:szCs w:val="20"/>
                <w:color w:val="auto"/>
              </w:rPr>
            </w:pPr>
            <w:r>
              <w:rPr>
                <w:rFonts w:ascii="Arial" w:cs="Arial" w:eastAsia="Arial" w:hAnsi="Arial"/>
                <w:sz w:val="12"/>
                <w:szCs w:val="12"/>
                <w:color w:val="auto"/>
              </w:rPr>
              <w:t>440,956</w:t>
            </w:r>
          </w:p>
        </w:tc>
        <w:tc>
          <w:tcPr>
            <w:tcW w:w="80" w:type="dxa"/>
            <w:vAlign w:val="bottom"/>
            <w:shd w:val="clear" w:color="auto" w:fill="DBDBDB"/>
          </w:tcPr>
          <w:p>
            <w:pPr>
              <w:spacing w:after="0"/>
              <w:rPr>
                <w:sz w:val="16"/>
                <w:szCs w:val="16"/>
                <w:color w:val="auto"/>
              </w:rPr>
            </w:pPr>
          </w:p>
        </w:tc>
        <w:tc>
          <w:tcPr>
            <w:tcW w:w="2260" w:type="dxa"/>
            <w:vAlign w:val="bottom"/>
            <w:shd w:val="clear" w:color="auto" w:fill="DBDBDB"/>
          </w:tcPr>
          <w:p>
            <w:pPr>
              <w:jc w:val="right"/>
              <w:ind w:right="243"/>
              <w:spacing w:after="0"/>
              <w:rPr>
                <w:sz w:val="20"/>
                <w:szCs w:val="20"/>
                <w:color w:val="auto"/>
              </w:rPr>
            </w:pPr>
            <w:r>
              <w:rPr>
                <w:rFonts w:ascii="Arial" w:cs="Arial" w:eastAsia="Arial" w:hAnsi="Arial"/>
                <w:sz w:val="12"/>
                <w:szCs w:val="12"/>
                <w:color w:val="auto"/>
              </w:rPr>
              <w:t>214,141</w:t>
            </w:r>
          </w:p>
        </w:tc>
        <w:tc>
          <w:tcPr>
            <w:tcW w:w="80" w:type="dxa"/>
            <w:vAlign w:val="bottom"/>
            <w:shd w:val="clear" w:color="auto" w:fill="DBDBDB"/>
          </w:tcPr>
          <w:p>
            <w:pPr>
              <w:spacing w:after="0"/>
              <w:rPr>
                <w:sz w:val="16"/>
                <w:szCs w:val="16"/>
                <w:color w:val="auto"/>
              </w:rPr>
            </w:pPr>
          </w:p>
        </w:tc>
        <w:tc>
          <w:tcPr>
            <w:tcW w:w="2260" w:type="dxa"/>
            <w:vAlign w:val="bottom"/>
            <w:shd w:val="clear" w:color="auto" w:fill="DBDBDB"/>
          </w:tcPr>
          <w:p>
            <w:pPr>
              <w:jc w:val="right"/>
              <w:ind w:right="243"/>
              <w:spacing w:after="0"/>
              <w:rPr>
                <w:sz w:val="20"/>
                <w:szCs w:val="20"/>
                <w:color w:val="auto"/>
              </w:rPr>
            </w:pPr>
            <w:r>
              <w:rPr>
                <w:rFonts w:ascii="Arial" w:cs="Arial" w:eastAsia="Arial" w:hAnsi="Arial"/>
                <w:sz w:val="12"/>
                <w:szCs w:val="12"/>
                <w:color w:val="auto"/>
              </w:rPr>
              <w:t>247,621</w:t>
            </w:r>
          </w:p>
        </w:tc>
      </w:tr>
      <w:tr>
        <w:trPr>
          <w:trHeight w:val="172"/>
        </w:trPr>
        <w:tc>
          <w:tcPr>
            <w:tcW w:w="4200" w:type="dxa"/>
            <w:vAlign w:val="bottom"/>
          </w:tcPr>
          <w:p>
            <w:pPr>
              <w:spacing w:after="0"/>
              <w:rPr>
                <w:sz w:val="20"/>
                <w:szCs w:val="20"/>
                <w:color w:val="auto"/>
              </w:rPr>
            </w:pPr>
            <w:r>
              <w:rPr>
                <w:rFonts w:ascii="Arial" w:cs="Arial" w:eastAsia="Arial" w:hAnsi="Arial"/>
                <w:sz w:val="12"/>
                <w:szCs w:val="12"/>
                <w:color w:val="auto"/>
              </w:rPr>
              <w:t>Weighted Average Shares of Common Stock Outstanding (Basic)</w:t>
            </w:r>
          </w:p>
        </w:tc>
        <w:tc>
          <w:tcPr>
            <w:tcW w:w="2260" w:type="dxa"/>
            <w:vAlign w:val="bottom"/>
          </w:tcPr>
          <w:p>
            <w:pPr>
              <w:jc w:val="right"/>
              <w:ind w:right="323"/>
              <w:spacing w:after="0"/>
              <w:rPr>
                <w:sz w:val="20"/>
                <w:szCs w:val="20"/>
                <w:color w:val="auto"/>
              </w:rPr>
            </w:pPr>
            <w:r>
              <w:rPr>
                <w:rFonts w:ascii="Arial" w:cs="Arial" w:eastAsia="Arial" w:hAnsi="Arial"/>
                <w:sz w:val="12"/>
                <w:szCs w:val="12"/>
                <w:color w:val="auto"/>
              </w:rPr>
              <w:t>21,295,000</w:t>
            </w:r>
          </w:p>
        </w:tc>
        <w:tc>
          <w:tcPr>
            <w:tcW w:w="80" w:type="dxa"/>
            <w:vAlign w:val="bottom"/>
          </w:tcPr>
          <w:p>
            <w:pPr>
              <w:spacing w:after="0"/>
              <w:rPr>
                <w:sz w:val="14"/>
                <w:szCs w:val="14"/>
                <w:color w:val="auto"/>
              </w:rPr>
            </w:pPr>
          </w:p>
        </w:tc>
        <w:tc>
          <w:tcPr>
            <w:tcW w:w="2260" w:type="dxa"/>
            <w:vAlign w:val="bottom"/>
          </w:tcPr>
          <w:p>
            <w:pPr>
              <w:jc w:val="right"/>
              <w:ind w:right="243"/>
              <w:spacing w:after="0"/>
              <w:rPr>
                <w:sz w:val="20"/>
                <w:szCs w:val="20"/>
                <w:color w:val="auto"/>
              </w:rPr>
            </w:pPr>
            <w:r>
              <w:rPr>
                <w:rFonts w:ascii="Arial" w:cs="Arial" w:eastAsia="Arial" w:hAnsi="Arial"/>
                <w:sz w:val="12"/>
                <w:szCs w:val="12"/>
                <w:color w:val="auto"/>
              </w:rPr>
              <w:t>21,726,000</w:t>
            </w:r>
          </w:p>
        </w:tc>
        <w:tc>
          <w:tcPr>
            <w:tcW w:w="80" w:type="dxa"/>
            <w:vAlign w:val="bottom"/>
          </w:tcPr>
          <w:p>
            <w:pPr>
              <w:spacing w:after="0"/>
              <w:rPr>
                <w:sz w:val="14"/>
                <w:szCs w:val="14"/>
                <w:color w:val="auto"/>
              </w:rPr>
            </w:pPr>
          </w:p>
        </w:tc>
        <w:tc>
          <w:tcPr>
            <w:tcW w:w="2260" w:type="dxa"/>
            <w:vAlign w:val="bottom"/>
          </w:tcPr>
          <w:p>
            <w:pPr>
              <w:jc w:val="right"/>
              <w:ind w:right="243"/>
              <w:spacing w:after="0"/>
              <w:rPr>
                <w:sz w:val="20"/>
                <w:szCs w:val="20"/>
                <w:color w:val="auto"/>
              </w:rPr>
            </w:pPr>
            <w:r>
              <w:rPr>
                <w:rFonts w:ascii="Arial" w:cs="Arial" w:eastAsia="Arial" w:hAnsi="Arial"/>
                <w:sz w:val="12"/>
                <w:szCs w:val="12"/>
                <w:color w:val="auto"/>
              </w:rPr>
              <w:t>21,871,000</w:t>
            </w:r>
          </w:p>
        </w:tc>
      </w:tr>
      <w:tr>
        <w:trPr>
          <w:trHeight w:val="188"/>
        </w:trPr>
        <w:tc>
          <w:tcPr>
            <w:tcW w:w="4200" w:type="dxa"/>
            <w:vAlign w:val="bottom"/>
            <w:shd w:val="clear" w:color="auto" w:fill="DBDBDB"/>
          </w:tcPr>
          <w:p>
            <w:pPr>
              <w:spacing w:after="0"/>
              <w:rPr>
                <w:sz w:val="20"/>
                <w:szCs w:val="20"/>
                <w:color w:val="auto"/>
              </w:rPr>
            </w:pPr>
            <w:r>
              <w:rPr>
                <w:rFonts w:ascii="Arial" w:cs="Arial" w:eastAsia="Arial" w:hAnsi="Arial"/>
                <w:sz w:val="12"/>
                <w:szCs w:val="12"/>
                <w:color w:val="auto"/>
              </w:rPr>
              <w:t>Burn Rate</w:t>
            </w:r>
          </w:p>
        </w:tc>
        <w:tc>
          <w:tcPr>
            <w:tcW w:w="2260" w:type="dxa"/>
            <w:vAlign w:val="bottom"/>
            <w:shd w:val="clear" w:color="auto" w:fill="DBDBDB"/>
          </w:tcPr>
          <w:p>
            <w:pPr>
              <w:jc w:val="right"/>
              <w:ind w:right="243"/>
              <w:spacing w:after="0"/>
              <w:rPr>
                <w:sz w:val="20"/>
                <w:szCs w:val="20"/>
                <w:color w:val="auto"/>
              </w:rPr>
            </w:pPr>
            <w:r>
              <w:rPr>
                <w:rFonts w:ascii="Arial" w:cs="Arial" w:eastAsia="Arial" w:hAnsi="Arial"/>
                <w:sz w:val="12"/>
                <w:szCs w:val="12"/>
                <w:color w:val="auto"/>
              </w:rPr>
              <w:t>2.07%</w:t>
            </w:r>
          </w:p>
        </w:tc>
        <w:tc>
          <w:tcPr>
            <w:tcW w:w="80" w:type="dxa"/>
            <w:vAlign w:val="bottom"/>
            <w:shd w:val="clear" w:color="auto" w:fill="DBDBDB"/>
          </w:tcPr>
          <w:p>
            <w:pPr>
              <w:spacing w:after="0"/>
              <w:rPr>
                <w:sz w:val="16"/>
                <w:szCs w:val="16"/>
                <w:color w:val="auto"/>
              </w:rPr>
            </w:pPr>
          </w:p>
        </w:tc>
        <w:tc>
          <w:tcPr>
            <w:tcW w:w="2260" w:type="dxa"/>
            <w:vAlign w:val="bottom"/>
            <w:shd w:val="clear" w:color="auto" w:fill="DBDBDB"/>
          </w:tcPr>
          <w:p>
            <w:pPr>
              <w:jc w:val="right"/>
              <w:ind w:right="183"/>
              <w:spacing w:after="0"/>
              <w:rPr>
                <w:sz w:val="20"/>
                <w:szCs w:val="20"/>
                <w:color w:val="auto"/>
              </w:rPr>
            </w:pPr>
            <w:r>
              <w:rPr>
                <w:rFonts w:ascii="Arial" w:cs="Arial" w:eastAsia="Arial" w:hAnsi="Arial"/>
                <w:sz w:val="12"/>
                <w:szCs w:val="12"/>
                <w:color w:val="auto"/>
              </w:rPr>
              <w:t>0.99%</w:t>
            </w:r>
          </w:p>
        </w:tc>
        <w:tc>
          <w:tcPr>
            <w:tcW w:w="80" w:type="dxa"/>
            <w:vAlign w:val="bottom"/>
            <w:shd w:val="clear" w:color="auto" w:fill="DBDBDB"/>
          </w:tcPr>
          <w:p>
            <w:pPr>
              <w:spacing w:after="0"/>
              <w:rPr>
                <w:sz w:val="16"/>
                <w:szCs w:val="16"/>
                <w:color w:val="auto"/>
              </w:rPr>
            </w:pPr>
          </w:p>
        </w:tc>
        <w:tc>
          <w:tcPr>
            <w:tcW w:w="2260" w:type="dxa"/>
            <w:vAlign w:val="bottom"/>
            <w:shd w:val="clear" w:color="auto" w:fill="DBDBDB"/>
          </w:tcPr>
          <w:p>
            <w:pPr>
              <w:jc w:val="right"/>
              <w:ind w:right="183"/>
              <w:spacing w:after="0"/>
              <w:rPr>
                <w:sz w:val="20"/>
                <w:szCs w:val="20"/>
                <w:color w:val="auto"/>
              </w:rPr>
            </w:pPr>
            <w:r>
              <w:rPr>
                <w:rFonts w:ascii="Arial" w:cs="Arial" w:eastAsia="Arial" w:hAnsi="Arial"/>
                <w:sz w:val="12"/>
                <w:szCs w:val="12"/>
                <w:color w:val="auto"/>
              </w:rPr>
              <w:t>1.13%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Based on the burn rates in fiscal years 2026, 2025 and 2024, our three-year average burn rate was 1.40%.</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i w:val="1"/>
          <w:iCs w:val="1"/>
          <w:color w:val="auto"/>
        </w:rPr>
        <w:t xml:space="preserve">Overhang. </w:t>
      </w:r>
      <w:r>
        <w:rPr>
          <w:rFonts w:ascii="Arial" w:cs="Arial" w:eastAsia="Arial" w:hAnsi="Arial"/>
          <w:sz w:val="12"/>
          <w:szCs w:val="12"/>
          <w:color w:val="auto"/>
        </w:rPr>
        <w:t>The potential dilution, or overhang, is a common measure to assess the dilutive impact of equity plans. Total potential dilution is equal to (i) the number of shares available to be granted as future equity</w:t>
      </w:r>
      <w:r>
        <w:rPr>
          <w:rFonts w:ascii="Arial" w:cs="Arial" w:eastAsia="Arial" w:hAnsi="Arial"/>
          <w:sz w:val="12"/>
          <w:szCs w:val="12"/>
          <w:i w:val="1"/>
          <w:iCs w:val="1"/>
          <w:color w:val="auto"/>
        </w:rPr>
        <w:t xml:space="preserve"> </w:t>
      </w:r>
      <w:r>
        <w:rPr>
          <w:rFonts w:ascii="Arial" w:cs="Arial" w:eastAsia="Arial" w:hAnsi="Arial"/>
          <w:sz w:val="12"/>
          <w:szCs w:val="12"/>
          <w:color w:val="auto"/>
        </w:rPr>
        <w:t>awards plus the number of shares subject to outstanding equity awards, divided by (ii) such total number of shares plus the total number of shares outstanding. Total potential dilution, prior to and after shareholder approval of the proposed amendment and restatement of the 2019 Stock Plan, is shown in the table below: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80" w:name="page81"/>
    <w:bookmarkEnd w:id="80"/>
    <w:tbl>
      <w:tblPr>
        <w:tblLayout w:type="fixed"/>
        <w:tblInd w:w="8" w:type="dxa"/>
        <w:tblCellMar>
          <w:top w:w="0" w:type="dxa"/>
          <w:left w:w="0" w:type="dxa"/>
          <w:bottom w:w="0" w:type="dxa"/>
          <w:right w:w="0" w:type="dxa"/>
        </w:tblCellMar>
      </w:tblPr>
      <w:tr>
        <w:trPr>
          <w:trHeight w:val="167"/>
        </w:trPr>
        <w:tc>
          <w:tcPr>
            <w:tcW w:w="85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Total Potential Dilution</w:t>
            </w:r>
          </w:p>
        </w:tc>
      </w:tr>
      <w:tr>
        <w:trPr>
          <w:trHeight w:val="177"/>
        </w:trPr>
        <w:tc>
          <w:tcPr>
            <w:tcW w:w="8580" w:type="dxa"/>
            <w:vAlign w:val="bottom"/>
            <w:tcBorders>
              <w:bottom w:val="single" w:sz="8" w:color="05445E"/>
            </w:tcBorders>
            <w:shd w:val="clear" w:color="auto" w:fill="DBDBDB"/>
          </w:tcPr>
          <w:p>
            <w:pPr>
              <w:spacing w:after="0"/>
              <w:rPr>
                <w:sz w:val="20"/>
                <w:szCs w:val="20"/>
                <w:color w:val="auto"/>
              </w:rPr>
            </w:pPr>
            <w:r>
              <w:rPr>
                <w:rFonts w:ascii="Arial" w:cs="Arial" w:eastAsia="Arial" w:hAnsi="Arial"/>
                <w:sz w:val="12"/>
                <w:szCs w:val="12"/>
                <w:b w:val="1"/>
                <w:bCs w:val="1"/>
                <w:color w:val="05445E"/>
              </w:rPr>
              <w:t>Remaining Reserve under 2019 Stock Incentive Plan ("2019 Stock Incentive Plan")</w:t>
            </w:r>
            <w:r>
              <w:rPr>
                <w:rFonts w:ascii="Arial" w:cs="Arial" w:eastAsia="Arial" w:hAnsi="Arial"/>
                <w:sz w:val="15"/>
                <w:szCs w:val="15"/>
                <w:b w:val="1"/>
                <w:bCs w:val="1"/>
                <w:color w:val="05445E"/>
                <w:vertAlign w:val="superscript"/>
              </w:rPr>
              <w:t>(1)</w:t>
            </w:r>
          </w:p>
        </w:tc>
        <w:tc>
          <w:tcPr>
            <w:tcW w:w="2700" w:type="dxa"/>
            <w:vAlign w:val="bottom"/>
            <w:tcBorders>
              <w:bottom w:val="single" w:sz="8" w:color="05445E"/>
            </w:tcBorders>
            <w:shd w:val="clear" w:color="auto" w:fill="DBDBDB"/>
          </w:tcPr>
          <w:p>
            <w:pPr>
              <w:jc w:val="center"/>
              <w:spacing w:after="0"/>
              <w:rPr>
                <w:sz w:val="20"/>
                <w:szCs w:val="20"/>
                <w:color w:val="auto"/>
              </w:rPr>
            </w:pPr>
            <w:r>
              <w:rPr>
                <w:rFonts w:ascii="Arial" w:cs="Arial" w:eastAsia="Arial" w:hAnsi="Arial"/>
                <w:sz w:val="12"/>
                <w:szCs w:val="12"/>
                <w:color w:val="05445E"/>
              </w:rPr>
              <w:t>390,862</w:t>
            </w:r>
          </w:p>
        </w:tc>
      </w:tr>
      <w:tr>
        <w:trPr>
          <w:trHeight w:val="137"/>
        </w:trPr>
        <w:tc>
          <w:tcPr>
            <w:tcW w:w="8580" w:type="dxa"/>
            <w:vAlign w:val="bottom"/>
          </w:tcPr>
          <w:p>
            <w:pPr>
              <w:spacing w:after="0"/>
              <w:rPr>
                <w:sz w:val="20"/>
                <w:szCs w:val="20"/>
                <w:color w:val="auto"/>
              </w:rPr>
            </w:pPr>
            <w:r>
              <w:rPr>
                <w:rFonts w:ascii="Arial" w:cs="Arial" w:eastAsia="Arial" w:hAnsi="Arial"/>
                <w:sz w:val="12"/>
                <w:szCs w:val="12"/>
                <w:color w:val="auto"/>
              </w:rPr>
              <w:t>Remaining Reserve under 2019 Non-Employee Director Stock Plan, Legacy Partnership Plan and Deferred Compensation Plan for Non-Employee Directors</w:t>
            </w:r>
          </w:p>
        </w:tc>
        <w:tc>
          <w:tcPr>
            <w:tcW w:w="2700" w:type="dxa"/>
            <w:vAlign w:val="bottom"/>
          </w:tcPr>
          <w:p>
            <w:pPr>
              <w:spacing w:after="0"/>
              <w:rPr>
                <w:sz w:val="11"/>
                <w:szCs w:val="11"/>
                <w:color w:val="auto"/>
              </w:rPr>
            </w:pPr>
          </w:p>
        </w:tc>
      </w:tr>
      <w:tr>
        <w:trPr>
          <w:trHeight w:val="176"/>
        </w:trPr>
        <w:tc>
          <w:tcPr>
            <w:tcW w:w="8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Stock Plans")</w:t>
            </w:r>
            <w:r>
              <w:rPr>
                <w:rFonts w:ascii="Arial" w:cs="Arial" w:eastAsia="Arial" w:hAnsi="Arial"/>
                <w:sz w:val="15"/>
                <w:szCs w:val="15"/>
                <w:color w:val="auto"/>
                <w:vertAlign w:val="superscript"/>
              </w:rPr>
              <w:t>(1)</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143,704</w:t>
            </w:r>
          </w:p>
        </w:tc>
      </w:tr>
      <w:tr>
        <w:trPr>
          <w:trHeight w:val="169"/>
        </w:trPr>
        <w:tc>
          <w:tcPr>
            <w:tcW w:w="8580" w:type="dxa"/>
            <w:vAlign w:val="bottom"/>
            <w:tcBorders>
              <w:bottom w:val="single" w:sz="8" w:color="05445E"/>
            </w:tcBorders>
            <w:shd w:val="clear" w:color="auto" w:fill="DBDBDB"/>
          </w:tcPr>
          <w:p>
            <w:pPr>
              <w:spacing w:after="0" w:line="169" w:lineRule="exact"/>
              <w:rPr>
                <w:sz w:val="20"/>
                <w:szCs w:val="20"/>
                <w:color w:val="auto"/>
              </w:rPr>
            </w:pPr>
            <w:r>
              <w:rPr>
                <w:rFonts w:ascii="Arial" w:cs="Arial" w:eastAsia="Arial" w:hAnsi="Arial"/>
                <w:sz w:val="12"/>
                <w:szCs w:val="12"/>
                <w:b w:val="1"/>
                <w:bCs w:val="1"/>
                <w:color w:val="05445E"/>
              </w:rPr>
              <w:t>Shares Subject to Outstanding Awards under 2019 Stock Incentive Plan, Other Stock Plans and New Hire Awards ("Outstanding Awards")</w:t>
            </w:r>
            <w:r>
              <w:rPr>
                <w:rFonts w:ascii="Arial" w:cs="Arial" w:eastAsia="Arial" w:hAnsi="Arial"/>
                <w:sz w:val="15"/>
                <w:szCs w:val="15"/>
                <w:b w:val="1"/>
                <w:bCs w:val="1"/>
                <w:color w:val="05445E"/>
                <w:vertAlign w:val="superscript"/>
              </w:rPr>
              <w:t>(1)</w:t>
            </w:r>
          </w:p>
        </w:tc>
        <w:tc>
          <w:tcPr>
            <w:tcW w:w="2700" w:type="dxa"/>
            <w:vAlign w:val="bottom"/>
            <w:tcBorders>
              <w:bottom w:val="single" w:sz="8" w:color="05445E"/>
            </w:tcBorders>
            <w:shd w:val="clear" w:color="auto" w:fill="DBDBDB"/>
          </w:tcPr>
          <w:p>
            <w:pPr>
              <w:jc w:val="center"/>
              <w:spacing w:after="0"/>
              <w:rPr>
                <w:sz w:val="20"/>
                <w:szCs w:val="20"/>
                <w:color w:val="auto"/>
              </w:rPr>
            </w:pPr>
            <w:r>
              <w:rPr>
                <w:rFonts w:ascii="Arial" w:cs="Arial" w:eastAsia="Arial" w:hAnsi="Arial"/>
                <w:sz w:val="12"/>
                <w:szCs w:val="12"/>
                <w:color w:val="05445E"/>
              </w:rPr>
              <w:t>230,273</w:t>
            </w:r>
          </w:p>
        </w:tc>
      </w:tr>
      <w:tr>
        <w:trPr>
          <w:trHeight w:val="169"/>
        </w:trPr>
        <w:tc>
          <w:tcPr>
            <w:tcW w:w="8580" w:type="dxa"/>
            <w:vAlign w:val="bottom"/>
            <w:tcBorders>
              <w:bottom w:val="single" w:sz="8" w:color="auto"/>
            </w:tcBorders>
          </w:tcPr>
          <w:p>
            <w:pPr>
              <w:spacing w:after="0" w:line="169" w:lineRule="exact"/>
              <w:rPr>
                <w:sz w:val="20"/>
                <w:szCs w:val="20"/>
                <w:color w:val="auto"/>
              </w:rPr>
            </w:pPr>
            <w:r>
              <w:rPr>
                <w:rFonts w:ascii="Arial" w:cs="Arial" w:eastAsia="Arial" w:hAnsi="Arial"/>
                <w:sz w:val="12"/>
                <w:szCs w:val="12"/>
                <w:color w:val="auto"/>
              </w:rPr>
              <w:t>Weighted Average Shares of Common Stock Outstanding (Basic) ("CSO")</w:t>
            </w:r>
            <w:r>
              <w:rPr>
                <w:rFonts w:ascii="Arial" w:cs="Arial" w:eastAsia="Arial" w:hAnsi="Arial"/>
                <w:sz w:val="15"/>
                <w:szCs w:val="15"/>
                <w:color w:val="auto"/>
                <w:vertAlign w:val="superscript"/>
              </w:rPr>
              <w:t>(1)</w:t>
            </w:r>
          </w:p>
        </w:tc>
        <w:tc>
          <w:tcPr>
            <w:tcW w:w="2700" w:type="dxa"/>
            <w:vAlign w:val="bottom"/>
            <w:tcBorders>
              <w:bottom w:val="single" w:sz="8" w:color="auto"/>
            </w:tcBorders>
          </w:tcPr>
          <w:p>
            <w:pPr>
              <w:jc w:val="right"/>
              <w:ind w:right="1760"/>
              <w:spacing w:after="0"/>
              <w:rPr>
                <w:sz w:val="20"/>
                <w:szCs w:val="20"/>
                <w:color w:val="auto"/>
              </w:rPr>
            </w:pPr>
            <w:r>
              <w:rPr>
                <w:rFonts w:ascii="Arial" w:cs="Arial" w:eastAsia="Arial" w:hAnsi="Arial"/>
                <w:sz w:val="12"/>
                <w:szCs w:val="12"/>
                <w:color w:val="auto"/>
              </w:rPr>
              <w:t>21,295,000</w:t>
            </w:r>
          </w:p>
        </w:tc>
      </w:tr>
      <w:tr>
        <w:trPr>
          <w:trHeight w:val="169"/>
        </w:trPr>
        <w:tc>
          <w:tcPr>
            <w:tcW w:w="8580" w:type="dxa"/>
            <w:vAlign w:val="bottom"/>
            <w:tcBorders>
              <w:bottom w:val="single" w:sz="8" w:color="05445E"/>
            </w:tcBorders>
            <w:shd w:val="clear" w:color="auto" w:fill="DBDBDB"/>
          </w:tcPr>
          <w:p>
            <w:pPr>
              <w:spacing w:after="0" w:line="169" w:lineRule="exact"/>
              <w:rPr>
                <w:sz w:val="20"/>
                <w:szCs w:val="20"/>
                <w:color w:val="auto"/>
              </w:rPr>
            </w:pPr>
            <w:r>
              <w:rPr>
                <w:rFonts w:ascii="Arial" w:cs="Arial" w:eastAsia="Arial" w:hAnsi="Arial"/>
                <w:sz w:val="12"/>
                <w:szCs w:val="12"/>
                <w:b w:val="1"/>
                <w:bCs w:val="1"/>
                <w:color w:val="05445E"/>
              </w:rPr>
              <w:t>Total Current Dilution</w:t>
            </w:r>
            <w:r>
              <w:rPr>
                <w:rFonts w:ascii="Arial" w:cs="Arial" w:eastAsia="Arial" w:hAnsi="Arial"/>
                <w:sz w:val="15"/>
                <w:szCs w:val="15"/>
                <w:b w:val="1"/>
                <w:bCs w:val="1"/>
                <w:color w:val="05445E"/>
                <w:vertAlign w:val="superscript"/>
              </w:rPr>
              <w:t>(2)</w:t>
            </w:r>
          </w:p>
        </w:tc>
        <w:tc>
          <w:tcPr>
            <w:tcW w:w="2700" w:type="dxa"/>
            <w:vAlign w:val="bottom"/>
            <w:tcBorders>
              <w:bottom w:val="single" w:sz="8" w:color="05445E"/>
            </w:tcBorders>
            <w:shd w:val="clear" w:color="auto" w:fill="DBDBDB"/>
          </w:tcPr>
          <w:p>
            <w:pPr>
              <w:jc w:val="right"/>
              <w:ind w:right="1660"/>
              <w:spacing w:after="0"/>
              <w:rPr>
                <w:sz w:val="20"/>
                <w:szCs w:val="20"/>
                <w:color w:val="auto"/>
              </w:rPr>
            </w:pPr>
            <w:r>
              <w:rPr>
                <w:rFonts w:ascii="Arial" w:cs="Arial" w:eastAsia="Arial" w:hAnsi="Arial"/>
                <w:sz w:val="12"/>
                <w:szCs w:val="12"/>
                <w:b w:val="1"/>
                <w:bCs w:val="1"/>
                <w:color w:val="05445E"/>
              </w:rPr>
              <w:t>3.47%</w:t>
            </w:r>
          </w:p>
        </w:tc>
      </w:tr>
      <w:tr>
        <w:trPr>
          <w:trHeight w:val="161"/>
        </w:trPr>
        <w:tc>
          <w:tcPr>
            <w:tcW w:w="8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Additional Shares Reserved under 2019 Stock Incentive Plan</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800,000</w:t>
            </w:r>
          </w:p>
        </w:tc>
      </w:tr>
      <w:tr>
        <w:trPr>
          <w:trHeight w:val="177"/>
        </w:trPr>
        <w:tc>
          <w:tcPr>
            <w:tcW w:w="8580" w:type="dxa"/>
            <w:vAlign w:val="bottom"/>
            <w:tcBorders>
              <w:bottom w:val="single" w:sz="8" w:color="05445E"/>
            </w:tcBorders>
            <w:shd w:val="clear" w:color="auto" w:fill="DBDBDB"/>
          </w:tcPr>
          <w:p>
            <w:pPr>
              <w:spacing w:after="0"/>
              <w:rPr>
                <w:sz w:val="20"/>
                <w:szCs w:val="20"/>
                <w:color w:val="auto"/>
              </w:rPr>
            </w:pPr>
            <w:r>
              <w:rPr>
                <w:rFonts w:ascii="Arial" w:cs="Arial" w:eastAsia="Arial" w:hAnsi="Arial"/>
                <w:sz w:val="12"/>
                <w:szCs w:val="12"/>
                <w:b w:val="1"/>
                <w:bCs w:val="1"/>
                <w:color w:val="05445E"/>
              </w:rPr>
              <w:t>Total Potential Dilution</w:t>
            </w:r>
            <w:r>
              <w:rPr>
                <w:rFonts w:ascii="Arial" w:cs="Arial" w:eastAsia="Arial" w:hAnsi="Arial"/>
                <w:sz w:val="15"/>
                <w:szCs w:val="15"/>
                <w:b w:val="1"/>
                <w:bCs w:val="1"/>
                <w:color w:val="05445E"/>
                <w:vertAlign w:val="superscript"/>
              </w:rPr>
              <w:t>(3)</w:t>
            </w:r>
          </w:p>
        </w:tc>
        <w:tc>
          <w:tcPr>
            <w:tcW w:w="2700" w:type="dxa"/>
            <w:vAlign w:val="bottom"/>
            <w:tcBorders>
              <w:bottom w:val="single" w:sz="8" w:color="05445E"/>
            </w:tcBorders>
            <w:shd w:val="clear" w:color="auto" w:fill="DBDBDB"/>
          </w:tcPr>
          <w:p>
            <w:pPr>
              <w:jc w:val="right"/>
              <w:ind w:right="1660"/>
              <w:spacing w:after="0"/>
              <w:rPr>
                <w:sz w:val="20"/>
                <w:szCs w:val="20"/>
                <w:color w:val="auto"/>
              </w:rPr>
            </w:pPr>
            <w:r>
              <w:rPr>
                <w:rFonts w:ascii="Arial" w:cs="Arial" w:eastAsia="Arial" w:hAnsi="Arial"/>
                <w:sz w:val="12"/>
                <w:szCs w:val="12"/>
                <w:b w:val="1"/>
                <w:bCs w:val="1"/>
                <w:color w:val="05445E"/>
              </w:rPr>
              <w:t>6.85%</w:t>
            </w: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ind w:left="308" w:hanging="308"/>
        <w:spacing w:after="0"/>
        <w:tabs>
          <w:tab w:leader="none" w:pos="308" w:val="left"/>
        </w:tabs>
        <w:numPr>
          <w:ilvl w:val="0"/>
          <w:numId w:val="71"/>
        </w:numPr>
        <w:rPr>
          <w:rFonts w:ascii="Arial" w:cs="Arial" w:eastAsia="Arial" w:hAnsi="Arial"/>
          <w:sz w:val="12"/>
          <w:szCs w:val="12"/>
          <w:color w:val="auto"/>
        </w:rPr>
      </w:pPr>
      <w:r>
        <w:rPr>
          <w:rFonts w:ascii="Arial" w:cs="Arial" w:eastAsia="Arial" w:hAnsi="Arial"/>
          <w:sz w:val="12"/>
          <w:szCs w:val="12"/>
          <w:color w:val="auto"/>
        </w:rPr>
        <w:t>As of February 28, 2026.</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71"/>
        </w:numPr>
        <w:rPr>
          <w:rFonts w:ascii="Arial" w:cs="Arial" w:eastAsia="Arial" w:hAnsi="Arial"/>
          <w:sz w:val="12"/>
          <w:szCs w:val="12"/>
          <w:color w:val="auto"/>
        </w:rPr>
      </w:pPr>
      <w:r>
        <w:rPr>
          <w:rFonts w:ascii="Arial" w:cs="Arial" w:eastAsia="Arial" w:hAnsi="Arial"/>
          <w:sz w:val="12"/>
          <w:szCs w:val="12"/>
          <w:color w:val="auto"/>
        </w:rPr>
        <w:t>Calculated as (2019 Stock Incentive Plan + Other Stock Plans + Outstanding Awards), divided by (2019 Stock Incentive Plan + Other Stock Plans + Outstanding Awards + CSO).</w:t>
      </w:r>
    </w:p>
    <w:p>
      <w:pPr>
        <w:spacing w:after="0" w:line="78" w:lineRule="exact"/>
        <w:rPr>
          <w:rFonts w:ascii="Arial" w:cs="Arial" w:eastAsia="Arial" w:hAnsi="Arial"/>
          <w:sz w:val="12"/>
          <w:szCs w:val="12"/>
          <w:color w:val="auto"/>
        </w:rPr>
      </w:pPr>
    </w:p>
    <w:p>
      <w:pPr>
        <w:ind w:left="328" w:hanging="328"/>
        <w:spacing w:after="0" w:line="286" w:lineRule="auto"/>
        <w:tabs>
          <w:tab w:leader="none" w:pos="322" w:val="left"/>
        </w:tabs>
        <w:numPr>
          <w:ilvl w:val="0"/>
          <w:numId w:val="71"/>
        </w:numPr>
        <w:rPr>
          <w:rFonts w:ascii="Arial" w:cs="Arial" w:eastAsia="Arial" w:hAnsi="Arial"/>
          <w:sz w:val="12"/>
          <w:szCs w:val="12"/>
          <w:color w:val="auto"/>
        </w:rPr>
      </w:pPr>
      <w:r>
        <w:rPr>
          <w:rFonts w:ascii="Arial" w:cs="Arial" w:eastAsia="Arial" w:hAnsi="Arial"/>
          <w:sz w:val="12"/>
          <w:szCs w:val="12"/>
          <w:color w:val="auto"/>
        </w:rPr>
        <w:t>Calculated as (2019 Stock Incentive Plan + Other Stock Plans + Outstanding Awards + Additional Shares Reserved under 2019 Stock Incentive Plan), divided by (2019 Stock Incentive Plan + Other Stock Plans + Outstanding Awards + Additional Shares Reserved under 2019 Stock Incentive Plan + CSO).</w:t>
      </w:r>
    </w:p>
    <w:p>
      <w:pPr>
        <w:spacing w:after="0" w:line="31"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The 2019 Stock Plan does not set the number of shares subject to equity awards that will be granted in future years. In setting each year’s award amounts for plan participants, the Committee considers a variety of factors such as: the relative market position of the awards, the proportion of each executive’s total compensation to be delivered as a long-term incentive award, internal pay equity, executive performance, retention concerns, and the Company’s performance. The closing price of a share of the Company's common stock on the Nasdaq Global Select Market on April 27, 2026 was $37.44 per share.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5445E"/>
        </w:rPr>
        <w:t>New Plan Benefits</w:t>
      </w:r>
    </w:p>
    <w:p>
      <w:pPr>
        <w:spacing w:after="0" w:line="150"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The number and types of awards that will be granted under the 2019 Stock Plan in the future are not determinable at this time, as the Committee will make these determinations in its discretion, subject to the terms of the 2019 Stock Plan.</w:t>
      </w:r>
    </w:p>
    <w:p>
      <w:pPr>
        <w:spacing w:after="0" w:line="103"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The following table sets forth summary information concerning the number of shares of our common stock subject to restricted stock grants, restricted stock unit and deferred restricted stock units grants and performance share unit grants (at target) made under the 2019 Stock Incentive Plan to our Named Executive Officers, non-employee directors, and employees in fiscal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3" w:right="299" w:bottom="1440" w:gutter="0" w:footer="0" w:header="0"/>
        </w:sectPr>
      </w:pPr>
    </w:p>
    <w:bookmarkStart w:id="81" w:name="page82"/>
    <w:bookmarkEnd w:id="81"/>
    <w:tbl>
      <w:tblPr>
        <w:tblLayout w:type="fixed"/>
        <w:tblInd w:w="8" w:type="dxa"/>
        <w:tblCellMar>
          <w:top w:w="0" w:type="dxa"/>
          <w:left w:w="0" w:type="dxa"/>
          <w:bottom w:w="0" w:type="dxa"/>
          <w:right w:w="0" w:type="dxa"/>
        </w:tblCellMar>
      </w:tblPr>
      <w:tr>
        <w:trPr>
          <w:trHeight w:val="144"/>
        </w:trPr>
        <w:tc>
          <w:tcPr>
            <w:tcW w:w="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05445E"/>
                <w:w w:val="99"/>
              </w:rPr>
              <w:t>Shares Underlying Restricted Stock</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05445E"/>
              </w:rPr>
              <w:t>Shares Underlying Performance</w:t>
            </w:r>
          </w:p>
        </w:tc>
      </w:tr>
      <w:tr>
        <w:trPr>
          <w:trHeight w:val="144"/>
        </w:trPr>
        <w:tc>
          <w:tcPr>
            <w:tcW w:w="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05445E"/>
                <w:w w:val="99"/>
              </w:rPr>
              <w:t>Shares Underlying Restricted Stock</w:t>
            </w:r>
          </w:p>
        </w:tc>
        <w:tc>
          <w:tcPr>
            <w:tcW w:w="24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05445E"/>
              </w:rPr>
              <w:t>Units and Deferred Restricted Stock</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05445E"/>
                <w:w w:val="99"/>
              </w:rPr>
              <w:t>Share Units Granted</w:t>
            </w:r>
          </w:p>
        </w:tc>
      </w:tr>
      <w:tr>
        <w:trPr>
          <w:trHeight w:val="144"/>
        </w:trPr>
        <w:tc>
          <w:tcPr>
            <w:tcW w:w="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5445E"/>
                <w:w w:val="99"/>
              </w:rPr>
              <w:t>Granted</w:t>
            </w: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05445E"/>
              </w:rPr>
              <w:t>Units Granted</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05445E"/>
                <w:w w:val="98"/>
              </w:rPr>
              <w:t>(at Target)</w:t>
            </w:r>
          </w:p>
        </w:tc>
      </w:tr>
      <w:tr>
        <w:trPr>
          <w:trHeight w:val="170"/>
        </w:trPr>
        <w:tc>
          <w:tcPr>
            <w:tcW w:w="240" w:type="dxa"/>
            <w:vAlign w:val="bottom"/>
          </w:tcPr>
          <w:p>
            <w:pPr>
              <w:spacing w:after="0"/>
              <w:rPr>
                <w:sz w:val="14"/>
                <w:szCs w:val="14"/>
                <w:color w:val="auto"/>
              </w:rPr>
            </w:pP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05445E"/>
              </w:rPr>
              <w:t>Name Executive Officers</w:t>
            </w:r>
          </w:p>
        </w:tc>
        <w:tc>
          <w:tcPr>
            <w:tcW w:w="80" w:type="dxa"/>
            <w:vAlign w:val="bottom"/>
            <w:tcBorders>
              <w:bottom w:val="single" w:sz="8" w:color="D9D9D9"/>
            </w:tcBorders>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80" w:type="dxa"/>
            <w:vAlign w:val="bottom"/>
            <w:tcBorders>
              <w:bottom w:val="single" w:sz="8" w:color="D9D9D9"/>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w w:val="95"/>
              </w:rPr>
              <w:t>(#)</w:t>
            </w:r>
          </w:p>
        </w:tc>
        <w:tc>
          <w:tcPr>
            <w:tcW w:w="280" w:type="dxa"/>
            <w:vAlign w:val="bottom"/>
            <w:tcBorders>
              <w:bottom w:val="single" w:sz="8" w:color="D9D9D9"/>
            </w:tcBorders>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05445E"/>
              </w:rPr>
              <w:t>(#)</w:t>
            </w:r>
          </w:p>
        </w:tc>
      </w:tr>
      <w:tr>
        <w:trPr>
          <w:trHeight w:val="143"/>
        </w:trPr>
        <w:tc>
          <w:tcPr>
            <w:tcW w:w="240" w:type="dxa"/>
            <w:vAlign w:val="bottom"/>
          </w:tcPr>
          <w:p>
            <w:pPr>
              <w:spacing w:after="0"/>
              <w:rPr>
                <w:sz w:val="12"/>
                <w:szCs w:val="12"/>
                <w:color w:val="auto"/>
              </w:rPr>
            </w:pPr>
          </w:p>
        </w:tc>
        <w:tc>
          <w:tcPr>
            <w:tcW w:w="3940" w:type="dxa"/>
            <w:vAlign w:val="bottom"/>
            <w:gridSpan w:val="2"/>
            <w:shd w:val="clear" w:color="auto" w:fill="D9D9D9"/>
          </w:tcPr>
          <w:p>
            <w:pPr>
              <w:ind w:left="20"/>
              <w:spacing w:after="0" w:line="144" w:lineRule="exact"/>
              <w:rPr>
                <w:sz w:val="20"/>
                <w:szCs w:val="20"/>
                <w:color w:val="auto"/>
              </w:rPr>
            </w:pPr>
            <w:r>
              <w:rPr>
                <w:rFonts w:ascii="Arial" w:cs="Arial" w:eastAsia="Arial" w:hAnsi="Arial"/>
                <w:sz w:val="12"/>
                <w:szCs w:val="12"/>
                <w:color w:val="auto"/>
              </w:rPr>
              <w:t>Donald A. Nolan</w:t>
            </w:r>
            <w:r>
              <w:rPr>
                <w:rFonts w:ascii="Arial" w:cs="Arial" w:eastAsia="Arial" w:hAnsi="Arial"/>
                <w:sz w:val="15"/>
                <w:szCs w:val="15"/>
                <w:color w:val="auto"/>
                <w:vertAlign w:val="superscript"/>
              </w:rPr>
              <w:t>(1)</w:t>
            </w:r>
          </w:p>
        </w:tc>
        <w:tc>
          <w:tcPr>
            <w:tcW w:w="214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7,386</w:t>
            </w:r>
          </w:p>
        </w:tc>
        <w:tc>
          <w:tcPr>
            <w:tcW w:w="80" w:type="dxa"/>
            <w:vAlign w:val="bottom"/>
            <w:shd w:val="clear" w:color="auto" w:fill="D9D9D9"/>
          </w:tcPr>
          <w:p>
            <w:pPr>
              <w:spacing w:after="0"/>
              <w:rPr>
                <w:sz w:val="12"/>
                <w:szCs w:val="12"/>
                <w:color w:val="auto"/>
              </w:rPr>
            </w:pPr>
          </w:p>
        </w:tc>
        <w:tc>
          <w:tcPr>
            <w:tcW w:w="216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41,854</w:t>
            </w:r>
          </w:p>
        </w:tc>
        <w:tc>
          <w:tcPr>
            <w:tcW w:w="280" w:type="dxa"/>
            <w:vAlign w:val="bottom"/>
            <w:shd w:val="clear" w:color="auto" w:fill="D9D9D9"/>
          </w:tcPr>
          <w:p>
            <w:pPr>
              <w:spacing w:after="0"/>
              <w:rPr>
                <w:sz w:val="12"/>
                <w:szCs w:val="12"/>
                <w:color w:val="auto"/>
              </w:rPr>
            </w:pPr>
          </w:p>
        </w:tc>
        <w:tc>
          <w:tcPr>
            <w:tcW w:w="22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240" w:type="dxa"/>
            <w:vAlign w:val="bottom"/>
          </w:tcPr>
          <w:p>
            <w:pPr>
              <w:spacing w:after="0"/>
              <w:rPr>
                <w:sz w:val="12"/>
                <w:szCs w:val="12"/>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Chief Executive Officer and</w:t>
            </w:r>
          </w:p>
        </w:tc>
        <w:tc>
          <w:tcPr>
            <w:tcW w:w="2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2200" w:type="dxa"/>
            <w:vAlign w:val="bottom"/>
            <w:shd w:val="clear" w:color="auto" w:fill="D9D9D9"/>
          </w:tcPr>
          <w:p>
            <w:pPr>
              <w:spacing w:after="0"/>
              <w:rPr>
                <w:sz w:val="12"/>
                <w:szCs w:val="12"/>
                <w:color w:val="auto"/>
              </w:rPr>
            </w:pPr>
          </w:p>
        </w:tc>
      </w:tr>
      <w:tr>
        <w:trPr>
          <w:trHeight w:val="175"/>
        </w:trPr>
        <w:tc>
          <w:tcPr>
            <w:tcW w:w="240" w:type="dxa"/>
            <w:vAlign w:val="bottom"/>
          </w:tcPr>
          <w:p>
            <w:pPr>
              <w:spacing w:after="0"/>
              <w:rPr>
                <w:sz w:val="15"/>
                <w:szCs w:val="15"/>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Executive Chair of the Board</w:t>
            </w:r>
          </w:p>
        </w:tc>
        <w:tc>
          <w:tcPr>
            <w:tcW w:w="2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r>
      <w:tr>
        <w:trPr>
          <w:trHeight w:val="149"/>
        </w:trPr>
        <w:tc>
          <w:tcPr>
            <w:tcW w:w="240" w:type="dxa"/>
            <w:vAlign w:val="bottom"/>
          </w:tcPr>
          <w:p>
            <w:pPr>
              <w:spacing w:after="0"/>
              <w:rPr>
                <w:sz w:val="12"/>
                <w:szCs w:val="12"/>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color w:val="auto"/>
              </w:rPr>
              <w:t>Mark R. Augdahl</w:t>
            </w:r>
          </w:p>
        </w:tc>
        <w:tc>
          <w:tcPr>
            <w:tcW w:w="2140" w:type="dxa"/>
            <w:vAlign w:val="bottom"/>
          </w:tcPr>
          <w:p>
            <w:pPr>
              <w:jc w:val="right"/>
              <w:ind w:right="240"/>
              <w:spacing w:after="0"/>
              <w:rPr>
                <w:sz w:val="20"/>
                <w:szCs w:val="20"/>
                <w:color w:val="auto"/>
              </w:rPr>
            </w:pPr>
            <w:r>
              <w:rPr>
                <w:rFonts w:ascii="Arial" w:cs="Arial" w:eastAsia="Arial" w:hAnsi="Arial"/>
                <w:sz w:val="12"/>
                <w:szCs w:val="12"/>
                <w:color w:val="auto"/>
              </w:rPr>
              <w:t>22,830</w:t>
            </w:r>
          </w:p>
        </w:tc>
        <w:tc>
          <w:tcPr>
            <w:tcW w:w="80" w:type="dxa"/>
            <w:vAlign w:val="bottom"/>
          </w:tcPr>
          <w:p>
            <w:pPr>
              <w:spacing w:after="0"/>
              <w:rPr>
                <w:sz w:val="12"/>
                <w:szCs w:val="12"/>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right"/>
              <w:ind w:right="300"/>
              <w:spacing w:after="0"/>
              <w:rPr>
                <w:sz w:val="20"/>
                <w:szCs w:val="20"/>
                <w:color w:val="auto"/>
              </w:rPr>
            </w:pPr>
            <w:r>
              <w:rPr>
                <w:rFonts w:ascii="Arial" w:cs="Arial" w:eastAsia="Arial" w:hAnsi="Arial"/>
                <w:sz w:val="12"/>
                <w:szCs w:val="12"/>
                <w:color w:val="auto"/>
              </w:rPr>
              <w:t>1,935</w:t>
            </w:r>
          </w:p>
        </w:tc>
      </w:tr>
      <w:tr>
        <w:trPr>
          <w:trHeight w:val="144"/>
        </w:trPr>
        <w:tc>
          <w:tcPr>
            <w:tcW w:w="240" w:type="dxa"/>
            <w:vAlign w:val="bottom"/>
          </w:tcPr>
          <w:p>
            <w:pPr>
              <w:spacing w:after="0"/>
              <w:rPr>
                <w:sz w:val="12"/>
                <w:szCs w:val="12"/>
                <w:color w:val="auto"/>
              </w:rPr>
            </w:pPr>
          </w:p>
        </w:tc>
        <w:tc>
          <w:tcPr>
            <w:tcW w:w="3940" w:type="dxa"/>
            <w:vAlign w:val="bottom"/>
            <w:gridSpan w:val="2"/>
          </w:tcPr>
          <w:p>
            <w:pPr>
              <w:ind w:left="420"/>
              <w:spacing w:after="0"/>
              <w:rPr>
                <w:sz w:val="20"/>
                <w:szCs w:val="20"/>
                <w:color w:val="auto"/>
              </w:rPr>
            </w:pPr>
            <w:r>
              <w:rPr>
                <w:rFonts w:ascii="Arial" w:cs="Arial" w:eastAsia="Arial" w:hAnsi="Arial"/>
                <w:sz w:val="12"/>
                <w:szCs w:val="12"/>
                <w:color w:val="auto"/>
              </w:rPr>
              <w:t>Executive Vice President,</w:t>
            </w: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7"/>
        </w:trPr>
        <w:tc>
          <w:tcPr>
            <w:tcW w:w="24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2"/>
                <w:szCs w:val="12"/>
                <w:color w:val="auto"/>
              </w:rPr>
              <w:t>Chief Financial Officer</w:t>
            </w: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7"/>
        </w:trPr>
        <w:tc>
          <w:tcPr>
            <w:tcW w:w="240" w:type="dxa"/>
            <w:vAlign w:val="bottom"/>
          </w:tcPr>
          <w:p>
            <w:pPr>
              <w:spacing w:after="0"/>
              <w:rPr>
                <w:sz w:val="13"/>
                <w:szCs w:val="13"/>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Troy R. Johnson</w:t>
            </w:r>
          </w:p>
        </w:tc>
        <w:tc>
          <w:tcPr>
            <w:tcW w:w="214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31,720</w:t>
            </w:r>
          </w:p>
        </w:tc>
        <w:tc>
          <w:tcPr>
            <w:tcW w:w="80" w:type="dxa"/>
            <w:vAlign w:val="bottom"/>
            <w:shd w:val="clear" w:color="auto" w:fill="D9D9D9"/>
          </w:tcPr>
          <w:p>
            <w:pPr>
              <w:spacing w:after="0"/>
              <w:rPr>
                <w:sz w:val="13"/>
                <w:szCs w:val="13"/>
                <w:color w:val="auto"/>
              </w:rPr>
            </w:pPr>
          </w:p>
        </w:tc>
        <w:tc>
          <w:tcPr>
            <w:tcW w:w="2440" w:type="dxa"/>
            <w:vAlign w:val="bottom"/>
            <w:gridSpan w:val="2"/>
            <w:shd w:val="clear" w:color="auto" w:fill="D9D9D9"/>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2,993</w:t>
            </w:r>
          </w:p>
        </w:tc>
      </w:tr>
      <w:tr>
        <w:trPr>
          <w:trHeight w:val="144"/>
        </w:trPr>
        <w:tc>
          <w:tcPr>
            <w:tcW w:w="240" w:type="dxa"/>
            <w:vAlign w:val="bottom"/>
          </w:tcPr>
          <w:p>
            <w:pPr>
              <w:spacing w:after="0"/>
              <w:rPr>
                <w:sz w:val="12"/>
                <w:szCs w:val="12"/>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President, Architectural</w:t>
            </w:r>
          </w:p>
        </w:tc>
        <w:tc>
          <w:tcPr>
            <w:tcW w:w="2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2200" w:type="dxa"/>
            <w:vAlign w:val="bottom"/>
            <w:shd w:val="clear" w:color="auto" w:fill="D9D9D9"/>
          </w:tcPr>
          <w:p>
            <w:pPr>
              <w:spacing w:after="0"/>
              <w:rPr>
                <w:sz w:val="12"/>
                <w:szCs w:val="12"/>
                <w:color w:val="auto"/>
              </w:rPr>
            </w:pPr>
          </w:p>
        </w:tc>
      </w:tr>
      <w:tr>
        <w:trPr>
          <w:trHeight w:val="175"/>
        </w:trPr>
        <w:tc>
          <w:tcPr>
            <w:tcW w:w="240" w:type="dxa"/>
            <w:vAlign w:val="bottom"/>
          </w:tcPr>
          <w:p>
            <w:pPr>
              <w:spacing w:after="0"/>
              <w:rPr>
                <w:sz w:val="15"/>
                <w:szCs w:val="15"/>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Metals Segment</w:t>
            </w:r>
          </w:p>
        </w:tc>
        <w:tc>
          <w:tcPr>
            <w:tcW w:w="2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r>
      <w:tr>
        <w:trPr>
          <w:trHeight w:val="149"/>
        </w:trPr>
        <w:tc>
          <w:tcPr>
            <w:tcW w:w="240" w:type="dxa"/>
            <w:vAlign w:val="bottom"/>
          </w:tcPr>
          <w:p>
            <w:pPr>
              <w:spacing w:after="0"/>
              <w:rPr>
                <w:sz w:val="12"/>
                <w:szCs w:val="12"/>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color w:val="auto"/>
              </w:rPr>
              <w:t>Veena M. Lakkundi</w:t>
            </w:r>
          </w:p>
        </w:tc>
        <w:tc>
          <w:tcPr>
            <w:tcW w:w="2140" w:type="dxa"/>
            <w:vAlign w:val="bottom"/>
          </w:tcPr>
          <w:p>
            <w:pPr>
              <w:jc w:val="right"/>
              <w:ind w:right="240"/>
              <w:spacing w:after="0"/>
              <w:rPr>
                <w:sz w:val="20"/>
                <w:szCs w:val="20"/>
                <w:color w:val="auto"/>
              </w:rPr>
            </w:pPr>
            <w:r>
              <w:rPr>
                <w:rFonts w:ascii="Arial" w:cs="Arial" w:eastAsia="Arial" w:hAnsi="Arial"/>
                <w:sz w:val="12"/>
                <w:szCs w:val="12"/>
                <w:color w:val="auto"/>
              </w:rPr>
              <w:t>24,841</w:t>
            </w:r>
          </w:p>
        </w:tc>
        <w:tc>
          <w:tcPr>
            <w:tcW w:w="80" w:type="dxa"/>
            <w:vAlign w:val="bottom"/>
          </w:tcPr>
          <w:p>
            <w:pPr>
              <w:spacing w:after="0"/>
              <w:rPr>
                <w:sz w:val="12"/>
                <w:szCs w:val="12"/>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right"/>
              <w:ind w:right="300"/>
              <w:spacing w:after="0"/>
              <w:rPr>
                <w:sz w:val="20"/>
                <w:szCs w:val="20"/>
                <w:color w:val="auto"/>
              </w:rPr>
            </w:pPr>
            <w:r>
              <w:rPr>
                <w:rFonts w:ascii="Arial" w:cs="Arial" w:eastAsia="Arial" w:hAnsi="Arial"/>
                <w:sz w:val="12"/>
                <w:szCs w:val="12"/>
                <w:color w:val="auto"/>
              </w:rPr>
              <w:t>3,618</w:t>
            </w:r>
          </w:p>
        </w:tc>
      </w:tr>
      <w:tr>
        <w:trPr>
          <w:trHeight w:val="144"/>
        </w:trPr>
        <w:tc>
          <w:tcPr>
            <w:tcW w:w="240" w:type="dxa"/>
            <w:vAlign w:val="bottom"/>
          </w:tcPr>
          <w:p>
            <w:pPr>
              <w:spacing w:after="0"/>
              <w:rPr>
                <w:sz w:val="12"/>
                <w:szCs w:val="12"/>
                <w:color w:val="auto"/>
              </w:rPr>
            </w:pPr>
          </w:p>
        </w:tc>
        <w:tc>
          <w:tcPr>
            <w:tcW w:w="3940" w:type="dxa"/>
            <w:vAlign w:val="bottom"/>
            <w:gridSpan w:val="2"/>
          </w:tcPr>
          <w:p>
            <w:pPr>
              <w:ind w:left="420"/>
              <w:spacing w:after="0"/>
              <w:rPr>
                <w:sz w:val="20"/>
                <w:szCs w:val="20"/>
                <w:color w:val="auto"/>
              </w:rPr>
            </w:pPr>
            <w:r>
              <w:rPr>
                <w:rFonts w:ascii="Arial" w:cs="Arial" w:eastAsia="Arial" w:hAnsi="Arial"/>
                <w:sz w:val="12"/>
                <w:szCs w:val="12"/>
                <w:color w:val="auto"/>
              </w:rPr>
              <w:t>President, Performance</w:t>
            </w: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7"/>
        </w:trPr>
        <w:tc>
          <w:tcPr>
            <w:tcW w:w="24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2"/>
                <w:szCs w:val="12"/>
                <w:color w:val="auto"/>
              </w:rPr>
              <w:t>Surfaces Segment</w:t>
            </w: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7"/>
        </w:trPr>
        <w:tc>
          <w:tcPr>
            <w:tcW w:w="240" w:type="dxa"/>
            <w:vAlign w:val="bottom"/>
          </w:tcPr>
          <w:p>
            <w:pPr>
              <w:spacing w:after="0"/>
              <w:rPr>
                <w:sz w:val="13"/>
                <w:szCs w:val="13"/>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Brent C. Jewell</w:t>
            </w:r>
          </w:p>
        </w:tc>
        <w:tc>
          <w:tcPr>
            <w:tcW w:w="214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22,973</w:t>
            </w:r>
          </w:p>
        </w:tc>
        <w:tc>
          <w:tcPr>
            <w:tcW w:w="80" w:type="dxa"/>
            <w:vAlign w:val="bottom"/>
            <w:shd w:val="clear" w:color="auto" w:fill="D9D9D9"/>
          </w:tcPr>
          <w:p>
            <w:pPr>
              <w:spacing w:after="0"/>
              <w:rPr>
                <w:sz w:val="13"/>
                <w:szCs w:val="13"/>
                <w:color w:val="auto"/>
              </w:rPr>
            </w:pPr>
          </w:p>
        </w:tc>
        <w:tc>
          <w:tcPr>
            <w:tcW w:w="2440" w:type="dxa"/>
            <w:vAlign w:val="bottom"/>
            <w:gridSpan w:val="2"/>
            <w:shd w:val="clear" w:color="auto" w:fill="D9D9D9"/>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3,045</w:t>
            </w:r>
          </w:p>
        </w:tc>
      </w:tr>
      <w:tr>
        <w:trPr>
          <w:trHeight w:val="144"/>
        </w:trPr>
        <w:tc>
          <w:tcPr>
            <w:tcW w:w="240" w:type="dxa"/>
            <w:vAlign w:val="bottom"/>
          </w:tcPr>
          <w:p>
            <w:pPr>
              <w:spacing w:after="0"/>
              <w:rPr>
                <w:sz w:val="12"/>
                <w:szCs w:val="12"/>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President, Architectural Glass</w:t>
            </w:r>
          </w:p>
        </w:tc>
        <w:tc>
          <w:tcPr>
            <w:tcW w:w="2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2200" w:type="dxa"/>
            <w:vAlign w:val="bottom"/>
            <w:shd w:val="clear" w:color="auto" w:fill="D9D9D9"/>
          </w:tcPr>
          <w:p>
            <w:pPr>
              <w:spacing w:after="0"/>
              <w:rPr>
                <w:sz w:val="12"/>
                <w:szCs w:val="12"/>
                <w:color w:val="auto"/>
              </w:rPr>
            </w:pPr>
          </w:p>
        </w:tc>
      </w:tr>
      <w:tr>
        <w:trPr>
          <w:trHeight w:val="175"/>
        </w:trPr>
        <w:tc>
          <w:tcPr>
            <w:tcW w:w="240" w:type="dxa"/>
            <w:vAlign w:val="bottom"/>
          </w:tcPr>
          <w:p>
            <w:pPr>
              <w:spacing w:after="0"/>
              <w:rPr>
                <w:sz w:val="15"/>
                <w:szCs w:val="15"/>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Segment</w:t>
            </w:r>
          </w:p>
        </w:tc>
        <w:tc>
          <w:tcPr>
            <w:tcW w:w="2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r>
      <w:tr>
        <w:trPr>
          <w:trHeight w:val="149"/>
        </w:trPr>
        <w:tc>
          <w:tcPr>
            <w:tcW w:w="240" w:type="dxa"/>
            <w:vAlign w:val="bottom"/>
          </w:tcPr>
          <w:p>
            <w:pPr>
              <w:spacing w:after="0"/>
              <w:rPr>
                <w:sz w:val="12"/>
                <w:szCs w:val="12"/>
                <w:color w:val="auto"/>
              </w:rPr>
            </w:pPr>
          </w:p>
        </w:tc>
        <w:tc>
          <w:tcPr>
            <w:tcW w:w="394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Ty R. Silberhorn</w:t>
            </w:r>
            <w:r>
              <w:rPr>
                <w:rFonts w:ascii="Arial" w:cs="Arial" w:eastAsia="Arial" w:hAnsi="Arial"/>
                <w:sz w:val="15"/>
                <w:szCs w:val="15"/>
                <w:color w:val="auto"/>
                <w:vertAlign w:val="superscript"/>
              </w:rPr>
              <w:t>(2)</w:t>
            </w:r>
          </w:p>
        </w:tc>
        <w:tc>
          <w:tcPr>
            <w:tcW w:w="2140" w:type="dxa"/>
            <w:vAlign w:val="bottom"/>
          </w:tcPr>
          <w:p>
            <w:pPr>
              <w:jc w:val="right"/>
              <w:ind w:right="240"/>
              <w:spacing w:after="0"/>
              <w:rPr>
                <w:sz w:val="20"/>
                <w:szCs w:val="20"/>
                <w:color w:val="auto"/>
              </w:rPr>
            </w:pPr>
            <w:r>
              <w:rPr>
                <w:rFonts w:ascii="Arial" w:cs="Arial" w:eastAsia="Arial" w:hAnsi="Arial"/>
                <w:sz w:val="12"/>
                <w:szCs w:val="12"/>
                <w:color w:val="auto"/>
              </w:rPr>
              <w:t>28,608</w:t>
            </w:r>
          </w:p>
        </w:tc>
        <w:tc>
          <w:tcPr>
            <w:tcW w:w="80" w:type="dxa"/>
            <w:vAlign w:val="bottom"/>
          </w:tcPr>
          <w:p>
            <w:pPr>
              <w:spacing w:after="0"/>
              <w:rPr>
                <w:sz w:val="12"/>
                <w:szCs w:val="12"/>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right"/>
              <w:ind w:right="300"/>
              <w:spacing w:after="0"/>
              <w:rPr>
                <w:sz w:val="20"/>
                <w:szCs w:val="20"/>
                <w:color w:val="auto"/>
              </w:rPr>
            </w:pPr>
            <w:r>
              <w:rPr>
                <w:rFonts w:ascii="Arial" w:cs="Arial" w:eastAsia="Arial" w:hAnsi="Arial"/>
                <w:sz w:val="12"/>
                <w:szCs w:val="12"/>
                <w:color w:val="auto"/>
              </w:rPr>
              <w:t>21,456</w:t>
            </w:r>
          </w:p>
        </w:tc>
      </w:tr>
      <w:tr>
        <w:trPr>
          <w:trHeight w:val="144"/>
        </w:trPr>
        <w:tc>
          <w:tcPr>
            <w:tcW w:w="240" w:type="dxa"/>
            <w:vAlign w:val="bottom"/>
          </w:tcPr>
          <w:p>
            <w:pPr>
              <w:spacing w:after="0"/>
              <w:rPr>
                <w:sz w:val="12"/>
                <w:szCs w:val="12"/>
                <w:color w:val="auto"/>
              </w:rPr>
            </w:pPr>
          </w:p>
        </w:tc>
        <w:tc>
          <w:tcPr>
            <w:tcW w:w="3940" w:type="dxa"/>
            <w:vAlign w:val="bottom"/>
            <w:gridSpan w:val="2"/>
          </w:tcPr>
          <w:p>
            <w:pPr>
              <w:ind w:left="420"/>
              <w:spacing w:after="0"/>
              <w:rPr>
                <w:sz w:val="20"/>
                <w:szCs w:val="20"/>
                <w:color w:val="auto"/>
              </w:rPr>
            </w:pPr>
            <w:r>
              <w:rPr>
                <w:rFonts w:ascii="Arial" w:cs="Arial" w:eastAsia="Arial" w:hAnsi="Arial"/>
                <w:sz w:val="12"/>
                <w:szCs w:val="12"/>
                <w:color w:val="auto"/>
              </w:rPr>
              <w:t>Former President and Chief</w:t>
            </w: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7"/>
        </w:trPr>
        <w:tc>
          <w:tcPr>
            <w:tcW w:w="24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2"/>
                <w:szCs w:val="12"/>
                <w:color w:val="auto"/>
              </w:rPr>
              <w:t>Executive Officer</w:t>
            </w: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7"/>
        </w:trPr>
        <w:tc>
          <w:tcPr>
            <w:tcW w:w="240" w:type="dxa"/>
            <w:vAlign w:val="bottom"/>
          </w:tcPr>
          <w:p>
            <w:pPr>
              <w:spacing w:after="0"/>
              <w:rPr>
                <w:sz w:val="13"/>
                <w:szCs w:val="13"/>
                <w:color w:val="auto"/>
              </w:rPr>
            </w:pPr>
          </w:p>
        </w:tc>
        <w:tc>
          <w:tcPr>
            <w:tcW w:w="3940" w:type="dxa"/>
            <w:vAlign w:val="bottom"/>
            <w:gridSpan w:val="2"/>
            <w:shd w:val="clear" w:color="auto" w:fill="D9D9D9"/>
          </w:tcPr>
          <w:p>
            <w:pPr>
              <w:ind w:left="20"/>
              <w:spacing w:after="0" w:line="158" w:lineRule="exact"/>
              <w:rPr>
                <w:sz w:val="20"/>
                <w:szCs w:val="20"/>
                <w:color w:val="auto"/>
              </w:rPr>
            </w:pPr>
            <w:r>
              <w:rPr>
                <w:rFonts w:ascii="Arial" w:cs="Arial" w:eastAsia="Arial" w:hAnsi="Arial"/>
                <w:sz w:val="12"/>
                <w:szCs w:val="12"/>
                <w:color w:val="auto"/>
              </w:rPr>
              <w:t>Matthew J. Osberg</w:t>
            </w:r>
            <w:r>
              <w:rPr>
                <w:rFonts w:ascii="Arial" w:cs="Arial" w:eastAsia="Arial" w:hAnsi="Arial"/>
                <w:sz w:val="15"/>
                <w:szCs w:val="15"/>
                <w:color w:val="auto"/>
                <w:vertAlign w:val="superscript"/>
              </w:rPr>
              <w:t>(3)</w:t>
            </w:r>
          </w:p>
        </w:tc>
        <w:tc>
          <w:tcPr>
            <w:tcW w:w="214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12,155</w:t>
            </w:r>
          </w:p>
        </w:tc>
        <w:tc>
          <w:tcPr>
            <w:tcW w:w="80" w:type="dxa"/>
            <w:vAlign w:val="bottom"/>
            <w:shd w:val="clear" w:color="auto" w:fill="D9D9D9"/>
          </w:tcPr>
          <w:p>
            <w:pPr>
              <w:spacing w:after="0"/>
              <w:rPr>
                <w:sz w:val="13"/>
                <w:szCs w:val="13"/>
                <w:color w:val="auto"/>
              </w:rPr>
            </w:pPr>
          </w:p>
        </w:tc>
        <w:tc>
          <w:tcPr>
            <w:tcW w:w="2440" w:type="dxa"/>
            <w:vAlign w:val="bottom"/>
            <w:gridSpan w:val="2"/>
            <w:shd w:val="clear" w:color="auto" w:fill="D9D9D9"/>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5,525</w:t>
            </w:r>
          </w:p>
        </w:tc>
      </w:tr>
      <w:tr>
        <w:trPr>
          <w:trHeight w:val="144"/>
        </w:trPr>
        <w:tc>
          <w:tcPr>
            <w:tcW w:w="240" w:type="dxa"/>
            <w:vAlign w:val="bottom"/>
          </w:tcPr>
          <w:p>
            <w:pPr>
              <w:spacing w:after="0"/>
              <w:rPr>
                <w:sz w:val="12"/>
                <w:szCs w:val="12"/>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Former Executive Vice</w:t>
            </w:r>
          </w:p>
        </w:tc>
        <w:tc>
          <w:tcPr>
            <w:tcW w:w="2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2200" w:type="dxa"/>
            <w:vAlign w:val="bottom"/>
            <w:shd w:val="clear" w:color="auto" w:fill="D9D9D9"/>
          </w:tcPr>
          <w:p>
            <w:pPr>
              <w:spacing w:after="0"/>
              <w:rPr>
                <w:sz w:val="12"/>
                <w:szCs w:val="12"/>
                <w:color w:val="auto"/>
              </w:rPr>
            </w:pPr>
          </w:p>
        </w:tc>
      </w:tr>
      <w:tr>
        <w:trPr>
          <w:trHeight w:val="144"/>
        </w:trPr>
        <w:tc>
          <w:tcPr>
            <w:tcW w:w="240" w:type="dxa"/>
            <w:vAlign w:val="bottom"/>
          </w:tcPr>
          <w:p>
            <w:pPr>
              <w:spacing w:after="0"/>
              <w:rPr>
                <w:sz w:val="12"/>
                <w:szCs w:val="12"/>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President, Chief Financial</w:t>
            </w:r>
          </w:p>
        </w:tc>
        <w:tc>
          <w:tcPr>
            <w:tcW w:w="21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2200" w:type="dxa"/>
            <w:vAlign w:val="bottom"/>
            <w:shd w:val="clear" w:color="auto" w:fill="D9D9D9"/>
          </w:tcPr>
          <w:p>
            <w:pPr>
              <w:spacing w:after="0"/>
              <w:rPr>
                <w:sz w:val="12"/>
                <w:szCs w:val="12"/>
                <w:color w:val="auto"/>
              </w:rPr>
            </w:pPr>
          </w:p>
        </w:tc>
      </w:tr>
      <w:tr>
        <w:trPr>
          <w:trHeight w:val="175"/>
        </w:trPr>
        <w:tc>
          <w:tcPr>
            <w:tcW w:w="240" w:type="dxa"/>
            <w:vAlign w:val="bottom"/>
          </w:tcPr>
          <w:p>
            <w:pPr>
              <w:spacing w:after="0"/>
              <w:rPr>
                <w:sz w:val="15"/>
                <w:szCs w:val="15"/>
                <w:color w:val="auto"/>
              </w:rPr>
            </w:pPr>
          </w:p>
        </w:tc>
        <w:tc>
          <w:tcPr>
            <w:tcW w:w="3940" w:type="dxa"/>
            <w:vAlign w:val="bottom"/>
            <w:gridSpan w:val="2"/>
            <w:shd w:val="clear" w:color="auto" w:fill="D9D9D9"/>
          </w:tcPr>
          <w:p>
            <w:pPr>
              <w:ind w:left="420"/>
              <w:spacing w:after="0"/>
              <w:rPr>
                <w:sz w:val="20"/>
                <w:szCs w:val="20"/>
                <w:color w:val="auto"/>
              </w:rPr>
            </w:pPr>
            <w:r>
              <w:rPr>
                <w:rFonts w:ascii="Arial" w:cs="Arial" w:eastAsia="Arial" w:hAnsi="Arial"/>
                <w:sz w:val="12"/>
                <w:szCs w:val="12"/>
                <w:color w:val="auto"/>
              </w:rPr>
              <w:t>Officer</w:t>
            </w:r>
          </w:p>
        </w:tc>
        <w:tc>
          <w:tcPr>
            <w:tcW w:w="2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auto"/>
              </w:rPr>
              <w:t>Non-Employee Directors</w:t>
            </w: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Christina M. Alvord</w:t>
            </w:r>
            <w:r>
              <w:rPr>
                <w:rFonts w:ascii="Arial" w:cs="Arial" w:eastAsia="Arial" w:hAnsi="Arial"/>
                <w:sz w:val="15"/>
                <w:szCs w:val="15"/>
                <w:color w:val="auto"/>
                <w:vertAlign w:val="superscript"/>
              </w:rPr>
              <w:t>(1)</w:t>
            </w:r>
          </w:p>
        </w:tc>
        <w:tc>
          <w:tcPr>
            <w:tcW w:w="2220" w:type="dxa"/>
            <w:vAlign w:val="bottom"/>
            <w:gridSpan w:val="2"/>
            <w:shd w:val="clear" w:color="auto" w:fill="D9D9D9"/>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D9D9D9"/>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4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color w:val="auto"/>
              </w:rPr>
              <w:t>Lloyd E. Johnson</w:t>
            </w:r>
            <w:r>
              <w:rPr>
                <w:rFonts w:ascii="Arial" w:cs="Arial" w:eastAsia="Arial" w:hAnsi="Arial"/>
                <w:sz w:val="15"/>
                <w:szCs w:val="15"/>
                <w:color w:val="auto"/>
                <w:vertAlign w:val="superscript"/>
              </w:rPr>
              <w:t>(1)</w:t>
            </w:r>
          </w:p>
        </w:tc>
        <w:tc>
          <w:tcPr>
            <w:tcW w:w="222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40" w:type="dxa"/>
            <w:vAlign w:val="bottom"/>
          </w:tcPr>
          <w:p>
            <w:pPr>
              <w:spacing w:after="0"/>
              <w:rPr>
                <w:sz w:val="15"/>
                <w:szCs w:val="15"/>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Elizabeth M. Lilly</w:t>
            </w:r>
            <w:r>
              <w:rPr>
                <w:rFonts w:ascii="Arial" w:cs="Arial" w:eastAsia="Arial" w:hAnsi="Arial"/>
                <w:sz w:val="15"/>
                <w:szCs w:val="15"/>
                <w:color w:val="auto"/>
                <w:vertAlign w:val="superscript"/>
              </w:rPr>
              <w:t>(1)</w:t>
            </w:r>
          </w:p>
        </w:tc>
        <w:tc>
          <w:tcPr>
            <w:tcW w:w="2220" w:type="dxa"/>
            <w:vAlign w:val="bottom"/>
            <w:gridSpan w:val="2"/>
            <w:shd w:val="clear" w:color="auto" w:fill="D9D9D9"/>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D9D9D9"/>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4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color w:val="auto"/>
              </w:rPr>
              <w:t>Herbert K. Parker</w:t>
            </w:r>
            <w:r>
              <w:rPr>
                <w:rFonts w:ascii="Arial" w:cs="Arial" w:eastAsia="Arial" w:hAnsi="Arial"/>
                <w:sz w:val="15"/>
                <w:szCs w:val="15"/>
                <w:color w:val="auto"/>
                <w:vertAlign w:val="superscript"/>
              </w:rPr>
              <w:t>(1)</w:t>
            </w:r>
          </w:p>
        </w:tc>
        <w:tc>
          <w:tcPr>
            <w:tcW w:w="222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40" w:type="dxa"/>
            <w:vAlign w:val="bottom"/>
          </w:tcPr>
          <w:p>
            <w:pPr>
              <w:spacing w:after="0"/>
              <w:rPr>
                <w:sz w:val="15"/>
                <w:szCs w:val="15"/>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color w:val="auto"/>
              </w:rPr>
              <w:t>Mark A. Pompa</w:t>
            </w:r>
            <w:r>
              <w:rPr>
                <w:rFonts w:ascii="Arial" w:cs="Arial" w:eastAsia="Arial" w:hAnsi="Arial"/>
                <w:sz w:val="15"/>
                <w:szCs w:val="15"/>
                <w:color w:val="auto"/>
                <w:vertAlign w:val="superscript"/>
              </w:rPr>
              <w:t>(1)</w:t>
            </w:r>
          </w:p>
        </w:tc>
        <w:tc>
          <w:tcPr>
            <w:tcW w:w="2220" w:type="dxa"/>
            <w:vAlign w:val="bottom"/>
            <w:gridSpan w:val="2"/>
            <w:shd w:val="clear" w:color="auto" w:fill="D9D9D9"/>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D9D9D9"/>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4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color w:val="auto"/>
              </w:rPr>
              <w:t>Patricia K. Wagner</w:t>
            </w:r>
            <w:r>
              <w:rPr>
                <w:rFonts w:ascii="Arial" w:cs="Arial" w:eastAsia="Arial" w:hAnsi="Arial"/>
                <w:sz w:val="15"/>
                <w:szCs w:val="15"/>
                <w:color w:val="auto"/>
                <w:vertAlign w:val="superscript"/>
              </w:rPr>
              <w:t>(1)</w:t>
            </w:r>
          </w:p>
        </w:tc>
        <w:tc>
          <w:tcPr>
            <w:tcW w:w="222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0"/>
        </w:trPr>
        <w:tc>
          <w:tcPr>
            <w:tcW w:w="240" w:type="dxa"/>
            <w:vAlign w:val="bottom"/>
          </w:tcPr>
          <w:p>
            <w:pPr>
              <w:spacing w:after="0"/>
              <w:rPr>
                <w:sz w:val="15"/>
                <w:szCs w:val="15"/>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b w:val="1"/>
                <w:bCs w:val="1"/>
                <w:color w:val="auto"/>
              </w:rPr>
              <w:t>All current executive officers as a group (seven persons)</w:t>
            </w:r>
          </w:p>
        </w:tc>
        <w:tc>
          <w:tcPr>
            <w:tcW w:w="214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137,740</w:t>
            </w:r>
          </w:p>
        </w:tc>
        <w:tc>
          <w:tcPr>
            <w:tcW w:w="80" w:type="dxa"/>
            <w:vAlign w:val="bottom"/>
            <w:shd w:val="clear" w:color="auto" w:fill="D9D9D9"/>
          </w:tcPr>
          <w:p>
            <w:pPr>
              <w:spacing w:after="0"/>
              <w:rPr>
                <w:sz w:val="15"/>
                <w:szCs w:val="15"/>
                <w:color w:val="auto"/>
              </w:rPr>
            </w:pPr>
          </w:p>
        </w:tc>
        <w:tc>
          <w:tcPr>
            <w:tcW w:w="216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41,854</w:t>
            </w:r>
          </w:p>
        </w:tc>
        <w:tc>
          <w:tcPr>
            <w:tcW w:w="280" w:type="dxa"/>
            <w:vAlign w:val="bottom"/>
            <w:shd w:val="clear" w:color="auto" w:fill="D9D9D9"/>
          </w:tcPr>
          <w:p>
            <w:pPr>
              <w:spacing w:after="0"/>
              <w:rPr>
                <w:sz w:val="15"/>
                <w:szCs w:val="15"/>
                <w:color w:val="auto"/>
              </w:rPr>
            </w:pPr>
          </w:p>
        </w:tc>
        <w:tc>
          <w:tcPr>
            <w:tcW w:w="220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13,115</w:t>
            </w:r>
          </w:p>
        </w:tc>
      </w:tr>
      <w:tr>
        <w:trPr>
          <w:trHeight w:val="175"/>
        </w:trPr>
        <w:tc>
          <w:tcPr>
            <w:tcW w:w="24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auto"/>
              </w:rPr>
              <w:t>All current non-employee directors as a group (six persons)</w:t>
            </w:r>
          </w:p>
        </w:tc>
        <w:tc>
          <w:tcPr>
            <w:tcW w:w="222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w:t>
            </w:r>
          </w:p>
        </w:tc>
        <w:tc>
          <w:tcPr>
            <w:tcW w:w="22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54"/>
        </w:trPr>
        <w:tc>
          <w:tcPr>
            <w:tcW w:w="240" w:type="dxa"/>
            <w:vAlign w:val="bottom"/>
          </w:tcPr>
          <w:p>
            <w:pPr>
              <w:spacing w:after="0"/>
              <w:rPr>
                <w:sz w:val="13"/>
                <w:szCs w:val="13"/>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b w:val="1"/>
                <w:bCs w:val="1"/>
                <w:color w:val="auto"/>
              </w:rPr>
              <w:t>All employees, including current officers who are not executive</w:t>
            </w:r>
          </w:p>
        </w:tc>
        <w:tc>
          <w:tcPr>
            <w:tcW w:w="2140" w:type="dxa"/>
            <w:vAlign w:val="bottom"/>
            <w:shd w:val="clear" w:color="auto" w:fill="D9D9D9"/>
          </w:tcPr>
          <w:p>
            <w:pPr>
              <w:jc w:val="right"/>
              <w:ind w:right="240"/>
              <w:spacing w:after="0"/>
              <w:rPr>
                <w:sz w:val="20"/>
                <w:szCs w:val="20"/>
                <w:color w:val="auto"/>
              </w:rPr>
            </w:pPr>
            <w:r>
              <w:rPr>
                <w:rFonts w:ascii="Arial" w:cs="Arial" w:eastAsia="Arial" w:hAnsi="Arial"/>
                <w:sz w:val="12"/>
                <w:szCs w:val="12"/>
                <w:color w:val="auto"/>
              </w:rPr>
              <w:t>117,651</w:t>
            </w:r>
          </w:p>
        </w:tc>
        <w:tc>
          <w:tcPr>
            <w:tcW w:w="80" w:type="dxa"/>
            <w:vAlign w:val="bottom"/>
            <w:shd w:val="clear" w:color="auto" w:fill="D9D9D9"/>
          </w:tcPr>
          <w:p>
            <w:pPr>
              <w:spacing w:after="0"/>
              <w:rPr>
                <w:sz w:val="13"/>
                <w:szCs w:val="13"/>
                <w:color w:val="auto"/>
              </w:rPr>
            </w:pPr>
          </w:p>
        </w:tc>
        <w:tc>
          <w:tcPr>
            <w:tcW w:w="216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290</w:t>
            </w:r>
          </w:p>
        </w:tc>
        <w:tc>
          <w:tcPr>
            <w:tcW w:w="280" w:type="dxa"/>
            <w:vAlign w:val="bottom"/>
            <w:shd w:val="clear" w:color="auto" w:fill="D9D9D9"/>
          </w:tcPr>
          <w:p>
            <w:pPr>
              <w:spacing w:after="0"/>
              <w:rPr>
                <w:sz w:val="13"/>
                <w:szCs w:val="13"/>
                <w:color w:val="auto"/>
              </w:rPr>
            </w:pPr>
          </w:p>
        </w:tc>
        <w:tc>
          <w:tcPr>
            <w:tcW w:w="2200" w:type="dxa"/>
            <w:vAlign w:val="bottom"/>
            <w:shd w:val="clear" w:color="auto" w:fill="D9D9D9"/>
          </w:tcPr>
          <w:p>
            <w:pPr>
              <w:jc w:val="right"/>
              <w:ind w:right="300"/>
              <w:spacing w:after="0"/>
              <w:rPr>
                <w:sz w:val="20"/>
                <w:szCs w:val="20"/>
                <w:color w:val="auto"/>
              </w:rPr>
            </w:pPr>
            <w:r>
              <w:rPr>
                <w:rFonts w:ascii="Arial" w:cs="Arial" w:eastAsia="Arial" w:hAnsi="Arial"/>
                <w:sz w:val="12"/>
                <w:szCs w:val="12"/>
                <w:color w:val="auto"/>
              </w:rPr>
              <w:t>13,446</w:t>
            </w:r>
          </w:p>
        </w:tc>
      </w:tr>
      <w:tr>
        <w:trPr>
          <w:trHeight w:val="175"/>
        </w:trPr>
        <w:tc>
          <w:tcPr>
            <w:tcW w:w="240" w:type="dxa"/>
            <w:vAlign w:val="bottom"/>
          </w:tcPr>
          <w:p>
            <w:pPr>
              <w:spacing w:after="0"/>
              <w:rPr>
                <w:sz w:val="15"/>
                <w:szCs w:val="15"/>
                <w:color w:val="auto"/>
              </w:rPr>
            </w:pPr>
          </w:p>
        </w:tc>
        <w:tc>
          <w:tcPr>
            <w:tcW w:w="3940" w:type="dxa"/>
            <w:vAlign w:val="bottom"/>
            <w:gridSpan w:val="2"/>
            <w:shd w:val="clear" w:color="auto" w:fill="D9D9D9"/>
          </w:tcPr>
          <w:p>
            <w:pPr>
              <w:ind w:left="20"/>
              <w:spacing w:after="0"/>
              <w:rPr>
                <w:sz w:val="20"/>
                <w:szCs w:val="20"/>
                <w:color w:val="auto"/>
              </w:rPr>
            </w:pPr>
            <w:r>
              <w:rPr>
                <w:rFonts w:ascii="Arial" w:cs="Arial" w:eastAsia="Arial" w:hAnsi="Arial"/>
                <w:sz w:val="12"/>
                <w:szCs w:val="12"/>
                <w:b w:val="1"/>
                <w:bCs w:val="1"/>
                <w:color w:val="auto"/>
              </w:rPr>
              <w:t>officers, as a group</w:t>
            </w:r>
          </w:p>
        </w:tc>
        <w:tc>
          <w:tcPr>
            <w:tcW w:w="2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r>
      <w:tr>
        <w:trPr>
          <w:trHeight w:val="148"/>
        </w:trPr>
        <w:tc>
          <w:tcPr>
            <w:tcW w:w="4100" w:type="dxa"/>
            <w:vAlign w:val="bottom"/>
            <w:gridSpan w:val="2"/>
          </w:tcPr>
          <w:p>
            <w:pPr>
              <w:jc w:val="right"/>
              <w:ind w:right="2960"/>
              <w:spacing w:after="0"/>
              <w:rPr>
                <w:sz w:val="20"/>
                <w:szCs w:val="20"/>
                <w:color w:val="auto"/>
              </w:rPr>
            </w:pPr>
            <w:r>
              <w:rPr>
                <w:rFonts w:ascii="Arial" w:cs="Arial" w:eastAsia="Arial" w:hAnsi="Arial"/>
                <w:sz w:val="7"/>
                <w:szCs w:val="7"/>
                <w:color w:val="auto"/>
              </w:rPr>
              <w:t>___________________________</w:t>
            </w: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r>
    </w:tbl>
    <w:p>
      <w:pPr>
        <w:spacing w:after="0" w:line="55" w:lineRule="exact"/>
        <w:rPr>
          <w:sz w:val="20"/>
          <w:szCs w:val="20"/>
          <w:color w:val="auto"/>
        </w:rPr>
      </w:pPr>
    </w:p>
    <w:p>
      <w:pPr>
        <w:ind w:left="308" w:hanging="308"/>
        <w:spacing w:after="0"/>
        <w:tabs>
          <w:tab w:leader="none" w:pos="308" w:val="left"/>
        </w:tabs>
        <w:numPr>
          <w:ilvl w:val="0"/>
          <w:numId w:val="72"/>
        </w:numPr>
        <w:rPr>
          <w:rFonts w:ascii="Arial" w:cs="Arial" w:eastAsia="Arial" w:hAnsi="Arial"/>
          <w:sz w:val="12"/>
          <w:szCs w:val="12"/>
          <w:color w:val="auto"/>
        </w:rPr>
      </w:pPr>
      <w:r>
        <w:rPr>
          <w:rFonts w:ascii="Arial" w:cs="Arial" w:eastAsia="Arial" w:hAnsi="Arial"/>
          <w:sz w:val="12"/>
          <w:szCs w:val="12"/>
          <w:color w:val="auto"/>
        </w:rPr>
        <w:t>Stock awards were granted under a separate plan, the 2019 Non-Employee Director Stock plan, for this person's service as a non-employee director.</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72"/>
        </w:numPr>
        <w:rPr>
          <w:rFonts w:ascii="Arial" w:cs="Arial" w:eastAsia="Arial" w:hAnsi="Arial"/>
          <w:sz w:val="12"/>
          <w:szCs w:val="12"/>
          <w:color w:val="auto"/>
        </w:rPr>
      </w:pPr>
      <w:r>
        <w:rPr>
          <w:rFonts w:ascii="Arial" w:cs="Arial" w:eastAsia="Arial" w:hAnsi="Arial"/>
          <w:sz w:val="12"/>
          <w:szCs w:val="12"/>
          <w:color w:val="auto"/>
        </w:rPr>
        <w:t>Mr. Silberhorn forfeited the 21,456 performance share units granted (at target) in fiscal 2026 pursuant to the terms of his Separation Agreement.</w:t>
      </w:r>
    </w:p>
    <w:p>
      <w:pPr>
        <w:spacing w:after="0" w:line="78" w:lineRule="exact"/>
        <w:rPr>
          <w:rFonts w:ascii="Arial" w:cs="Arial" w:eastAsia="Arial" w:hAnsi="Arial"/>
          <w:sz w:val="12"/>
          <w:szCs w:val="12"/>
          <w:color w:val="auto"/>
        </w:rPr>
      </w:pPr>
    </w:p>
    <w:p>
      <w:pPr>
        <w:ind w:left="308" w:hanging="308"/>
        <w:spacing w:after="0"/>
        <w:tabs>
          <w:tab w:leader="none" w:pos="308" w:val="left"/>
        </w:tabs>
        <w:numPr>
          <w:ilvl w:val="0"/>
          <w:numId w:val="72"/>
        </w:numPr>
        <w:rPr>
          <w:rFonts w:ascii="Arial" w:cs="Arial" w:eastAsia="Arial" w:hAnsi="Arial"/>
          <w:sz w:val="12"/>
          <w:szCs w:val="12"/>
          <w:color w:val="auto"/>
        </w:rPr>
      </w:pPr>
      <w:r>
        <w:rPr>
          <w:rFonts w:ascii="Arial" w:cs="Arial" w:eastAsia="Arial" w:hAnsi="Arial"/>
          <w:sz w:val="12"/>
          <w:szCs w:val="12"/>
          <w:color w:val="auto"/>
        </w:rPr>
        <w:t xml:space="preserve">Mr. Osberg forfeited the 12,155 restricted stock award granted in fiscal 2026 and the 5,525 performance share units granted (at target) in fiscal 2026 </w:t>
      </w:r>
      <w:r>
        <w:rPr>
          <w:rFonts w:ascii="Arial" w:cs="Arial" w:eastAsia="Arial" w:hAnsi="Arial"/>
          <w:sz w:val="12"/>
          <w:szCs w:val="12"/>
          <w:color w:val="0A0A0A"/>
        </w:rPr>
        <w:t>as a result of his resignation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47"/>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8"/>
          </w:cols>
          <w:pgMar w:left="292" w:top="847" w:right="559" w:bottom="1440" w:gutter="0" w:footer="0" w:header="0"/>
        </w:sectPr>
      </w:pPr>
    </w:p>
    <w:bookmarkStart w:id="82" w:name="page83"/>
    <w:bookmarkEnd w:id="82"/>
    <w:p>
      <w:pPr>
        <w:ind w:left="8"/>
        <w:spacing w:after="0"/>
        <w:rPr>
          <w:sz w:val="20"/>
          <w:szCs w:val="20"/>
          <w:color w:val="auto"/>
        </w:rPr>
      </w:pPr>
      <w:r>
        <w:rPr>
          <w:rFonts w:ascii="Arial" w:cs="Arial" w:eastAsia="Arial" w:hAnsi="Arial"/>
          <w:sz w:val="12"/>
          <w:szCs w:val="12"/>
          <w:b w:val="1"/>
          <w:bCs w:val="1"/>
          <w:color w:val="05445E"/>
        </w:rPr>
        <w:t>Description of 2019 Stock Plan</w:t>
      </w:r>
    </w:p>
    <w:p>
      <w:pPr>
        <w:spacing w:after="0" w:line="150"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b w:val="1"/>
          <w:bCs w:val="1"/>
          <w:i w:val="1"/>
          <w:iCs w:val="1"/>
          <w:u w:val="single" w:color="auto"/>
          <w:color w:val="auto"/>
        </w:rPr>
        <w:t>Administration</w:t>
      </w:r>
      <w:r>
        <w:rPr>
          <w:rFonts w:ascii="Arial" w:cs="Arial" w:eastAsia="Arial" w:hAnsi="Arial"/>
          <w:sz w:val="12"/>
          <w:szCs w:val="12"/>
          <w:color w:val="auto"/>
        </w:rPr>
        <w:t>. The Committee administers the 2019 Stock Plan and has full power and authority to determine when and to whom awards will be granted, and the type, amount and other terms and conditions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award, consistent with the provisions of the 2019 Stock Plan. Subject to the provisions of the 2019 Stock Plan, the Committee may amend the terms of, or accelerate the exercisability of, an outstanding award. The Committee will have authority to interpret the 2019 Stock Plan and establish rules and regulations for the administration of the 2019 Stock Plan.</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Committee may delegate its powers under the 2019 Stock Plan to the Chief Executive Officer and/or one or more executive officers, subject to the requirements of applicable law and exchange requirements.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However, such delegated officers will not be permitted to grant awards to any members of the Board or executive officers who are subject to Section 16 of the Exchange Act.</w:t>
      </w:r>
    </w:p>
    <w:p>
      <w:pPr>
        <w:spacing w:after="0" w:line="138"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b w:val="1"/>
          <w:bCs w:val="1"/>
          <w:i w:val="1"/>
          <w:iCs w:val="1"/>
          <w:u w:val="single" w:color="auto"/>
          <w:color w:val="auto"/>
        </w:rPr>
        <w:t>Eligibility</w:t>
      </w:r>
      <w:r>
        <w:rPr>
          <w:rFonts w:ascii="Arial" w:cs="Arial" w:eastAsia="Arial" w:hAnsi="Arial"/>
          <w:sz w:val="12"/>
          <w:szCs w:val="12"/>
          <w:color w:val="auto"/>
        </w:rPr>
        <w:t>. Any employee, officer, consultant or independent contractor providing services to Apogee Enterprises, Inc. or an affiliate, or any person to whom an offer of employment or engagement has been made,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who is selected by the Committee to participate, is eligible to receive an award under the 2019 Stock Plan. The number of persons eligible to participate as of April 27, 2026 (the record date for the meeting), had the 2019 Stock Plan been in effect, is estimated to be approximately 4,107 employees, eight officers and no consultants or independent contractors; however, historically the Committee has not granted awards to more than approximately 100 employees in any single fiscal year.</w:t>
      </w:r>
    </w:p>
    <w:p>
      <w:pPr>
        <w:spacing w:after="0" w:line="117"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b w:val="1"/>
          <w:bCs w:val="1"/>
          <w:i w:val="1"/>
          <w:iCs w:val="1"/>
          <w:u w:val="single" w:color="auto"/>
          <w:color w:val="auto"/>
        </w:rPr>
        <w:t>Shares Available for Awards</w:t>
      </w:r>
      <w:r>
        <w:rPr>
          <w:rFonts w:ascii="Arial" w:cs="Arial" w:eastAsia="Arial" w:hAnsi="Arial"/>
          <w:sz w:val="12"/>
          <w:szCs w:val="12"/>
          <w:color w:val="auto"/>
        </w:rPr>
        <w:t>. If this Proposal to increase the share reserve is approved, the aggregate number of shares that may be issued under all stock-based awards made under the 2019 Stock Plan will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2,950,000 shares. All shares subject to awards, regardless of the type of award, will count against the 2019 Stock Plan’s reserve on a 1:1 basis for each share subject to the award. If awards issued under the 2019 Stock Plan expire or otherwise terminate without being exercised or settled, the shares of common stock not acquired pursuant to such awards again become available for issuance under the 2019 Stock Plan. However, under the share counting provisions of the 2019 Stock Plan, the following classifications of shares will not again be available for issuance: (i) shares unissued due to a “net exercise” of a stock option, (ii) any shares withheld or shares tendered to satisfy tax withholding obligations under any award, (iii) shares covered by a SAR that is not settled in shares upon exercise, and (iv) shares repurchased using stock option exercise proceeds.</w:t>
      </w:r>
    </w:p>
    <w:p>
      <w:pPr>
        <w:spacing w:after="0" w:line="121"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Awards under the 2019 Stock Plan are also subject to annual limitations. No individual employee or officer may be granted awards under the 2019 Stock Plan for more than 200,000 shares of our common stock in any calendar year. No consultant or independent contractor may be granted awards under the 2019 Stock Plan for more than 30,000 shares of our common stock in any calendar year.</w:t>
      </w:r>
    </w:p>
    <w:p>
      <w:pPr>
        <w:spacing w:after="0" w:line="103"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The Committee can adjust the number of shares and share limits described above in the case of a stock dividend, recapitalization, stock split, reverse stock split, reorganization, merger, consolidation, split-off, repurchase or exchange of shares, or other similar corporate transaction where such an adjustment is necessary to prevent dilution or enlargement of the benefits available under the 2019 Stock Plan. Any adjustment determination made by the Committee shall be final, binding and conclusive.</w:t>
      </w:r>
    </w:p>
    <w:p>
      <w:pPr>
        <w:spacing w:after="0" w:line="114"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b w:val="1"/>
          <w:bCs w:val="1"/>
          <w:i w:val="1"/>
          <w:iCs w:val="1"/>
          <w:u w:val="single" w:color="auto"/>
          <w:color w:val="auto"/>
        </w:rPr>
        <w:t>Type of Awards and Terms and Conditions</w:t>
      </w:r>
      <w:r>
        <w:rPr>
          <w:rFonts w:ascii="Arial" w:cs="Arial" w:eastAsia="Arial" w:hAnsi="Arial"/>
          <w:sz w:val="12"/>
          <w:szCs w:val="12"/>
          <w:color w:val="auto"/>
        </w:rPr>
        <w:t>. The 2019 Stock Plan provides that the Committee may grant awards to eligible participants in any of the following forms, subject to such terms, conditions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provisions as the Committee may determine to be necessary or desirable:</w:t>
      </w:r>
    </w:p>
    <w:p>
      <w:pPr>
        <w:spacing w:after="0" w:line="103" w:lineRule="exact"/>
        <w:rPr>
          <w:sz w:val="20"/>
          <w:szCs w:val="20"/>
          <w:color w:val="auto"/>
        </w:rPr>
      </w:pPr>
    </w:p>
    <w:p>
      <w:pPr>
        <w:ind w:left="68" w:hanging="68"/>
        <w:spacing w:after="0"/>
        <w:tabs>
          <w:tab w:leader="none" w:pos="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stock options, including both incentive stock options (“ISOs”) and non-qualified stock options (together with ISOs, “options”);</w:t>
      </w:r>
    </w:p>
    <w:p>
      <w:pPr>
        <w:spacing w:after="0" w:line="42" w:lineRule="exact"/>
        <w:rPr>
          <w:rFonts w:ascii="Arial" w:cs="Arial" w:eastAsia="Arial" w:hAnsi="Arial"/>
          <w:sz w:val="12"/>
          <w:szCs w:val="12"/>
          <w:color w:val="auto"/>
        </w:rPr>
      </w:pPr>
    </w:p>
    <w:p>
      <w:pPr>
        <w:ind w:left="68" w:hanging="68"/>
        <w:spacing w:after="0"/>
        <w:tabs>
          <w:tab w:leader="none" w:pos="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stock appreciation rights (“SARs”);</w:t>
      </w:r>
    </w:p>
    <w:p>
      <w:pPr>
        <w:spacing w:after="0" w:line="42" w:lineRule="exact"/>
        <w:rPr>
          <w:rFonts w:ascii="Arial" w:cs="Arial" w:eastAsia="Arial" w:hAnsi="Arial"/>
          <w:sz w:val="12"/>
          <w:szCs w:val="12"/>
          <w:color w:val="auto"/>
        </w:rPr>
      </w:pPr>
    </w:p>
    <w:p>
      <w:pPr>
        <w:ind w:left="68" w:hanging="68"/>
        <w:spacing w:after="0"/>
        <w:tabs>
          <w:tab w:leader="none" w:pos="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restricted stock;</w:t>
      </w:r>
    </w:p>
    <w:p>
      <w:pPr>
        <w:spacing w:after="0" w:line="42" w:lineRule="exact"/>
        <w:rPr>
          <w:rFonts w:ascii="Arial" w:cs="Arial" w:eastAsia="Arial" w:hAnsi="Arial"/>
          <w:sz w:val="12"/>
          <w:szCs w:val="12"/>
          <w:color w:val="auto"/>
        </w:rPr>
      </w:pPr>
    </w:p>
    <w:p>
      <w:pPr>
        <w:ind w:left="68" w:hanging="68"/>
        <w:spacing w:after="0"/>
        <w:tabs>
          <w:tab w:leader="none" w:pos="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restricted stock units;</w:t>
      </w:r>
    </w:p>
    <w:p>
      <w:pPr>
        <w:spacing w:after="0" w:line="42" w:lineRule="exact"/>
        <w:rPr>
          <w:rFonts w:ascii="Arial" w:cs="Arial" w:eastAsia="Arial" w:hAnsi="Arial"/>
          <w:sz w:val="12"/>
          <w:szCs w:val="12"/>
          <w:color w:val="auto"/>
        </w:rPr>
      </w:pPr>
    </w:p>
    <w:p>
      <w:pPr>
        <w:ind w:left="68" w:hanging="68"/>
        <w:spacing w:after="0"/>
        <w:tabs>
          <w:tab w:leader="none" w:pos="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dividend equivalent rights; and</w:t>
      </w:r>
    </w:p>
    <w:p>
      <w:pPr>
        <w:spacing w:after="0" w:line="42" w:lineRule="exact"/>
        <w:rPr>
          <w:rFonts w:ascii="Arial" w:cs="Arial" w:eastAsia="Arial" w:hAnsi="Arial"/>
          <w:sz w:val="12"/>
          <w:szCs w:val="12"/>
          <w:color w:val="auto"/>
        </w:rPr>
      </w:pPr>
    </w:p>
    <w:p>
      <w:pPr>
        <w:ind w:left="68" w:hanging="68"/>
        <w:spacing w:after="0"/>
        <w:tabs>
          <w:tab w:leader="none" w:pos="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other stock-based awards.</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58" w:right="29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2"/>
          <w:szCs w:val="12"/>
          <w:color w:val="auto"/>
        </w:rPr>
        <w:t>The Committee will have the right to make the timing of the grant and/or the issuance, ability to retain, vesting, exercise and/or settlement of awards subject to completion of a minimum period of service, achievement of one or more performance goals or both as deemed appropriate by the Committee; provided, that a maximum of five percent of the aggregate number of shares available for issuance under the 2019 Stock Plan may be issued with the terms providing for a right of exercise or a lapse on any vesting condition earlier than a date that is at least one year following the date of grant (or, in the case of vesting based upon performance-based objectives, exercise and vesting restrictions cannot lapse earlier than the one-year anniversary, measured from the commencement of the period over which performance is evaluated). The Committee will also have the right to determine whether awards are exercised or payable in shares, cash or a combination thereof.</w:t>
      </w:r>
    </w:p>
    <w:p>
      <w:pPr>
        <w:spacing w:after="0" w:line="119" w:lineRule="exact"/>
        <w:rPr>
          <w:sz w:val="20"/>
          <w:szCs w:val="20"/>
          <w:color w:val="auto"/>
        </w:rPr>
      </w:pPr>
    </w:p>
    <w:p>
      <w:pPr>
        <w:jc w:val="both"/>
        <w:ind w:left="420" w:right="20" w:hanging="212"/>
        <w:spacing w:after="0" w:line="262" w:lineRule="auto"/>
        <w:tabs>
          <w:tab w:leader="none" w:pos="412"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Options and SARs</w:t>
      </w:r>
      <w:r>
        <w:rPr>
          <w:rFonts w:ascii="Arial" w:cs="Arial" w:eastAsia="Arial" w:hAnsi="Arial"/>
          <w:sz w:val="12"/>
          <w:szCs w:val="12"/>
          <w:color w:val="auto"/>
        </w:rPr>
        <w:t>. The holder of an option is entitled to purchase a number of shares of our common stock at a specified exercise price during a specified time period, all as determined by the Committee. The holder of a SAR is entitled to receive the excess of the fair market value (calculated as of the exercise date) of a specified number of shares of our common stock over the grant price of the SAR. We would receive no consideration for options or SARs granted under the 2019 Stock Plan, other than the services rendered by the holder in his or her capacity as an employee, officer, consultant or independent contractor of the Company.</w:t>
      </w:r>
    </w:p>
    <w:p>
      <w:pPr>
        <w:spacing w:after="0" w:line="45" w:lineRule="exact"/>
        <w:rPr>
          <w:sz w:val="20"/>
          <w:szCs w:val="20"/>
          <w:color w:val="auto"/>
        </w:rPr>
      </w:pPr>
    </w:p>
    <w:p>
      <w:pPr>
        <w:jc w:val="both"/>
        <w:ind w:left="640" w:right="380"/>
        <w:spacing w:after="0" w:line="268" w:lineRule="auto"/>
        <w:rPr>
          <w:sz w:val="20"/>
          <w:szCs w:val="20"/>
          <w:color w:val="auto"/>
        </w:rPr>
      </w:pPr>
      <w:r>
        <w:rPr>
          <w:rFonts w:ascii="Arial" w:cs="Arial" w:eastAsia="Arial" w:hAnsi="Arial"/>
          <w:sz w:val="12"/>
          <w:szCs w:val="12"/>
          <w:i w:val="1"/>
          <w:iCs w:val="1"/>
          <w:color w:val="auto"/>
        </w:rPr>
        <w:t>Exercise Price</w:t>
      </w:r>
      <w:r>
        <w:rPr>
          <w:rFonts w:ascii="Arial" w:cs="Arial" w:eastAsia="Arial" w:hAnsi="Arial"/>
          <w:sz w:val="12"/>
          <w:szCs w:val="12"/>
          <w:color w:val="auto"/>
        </w:rPr>
        <w:t>. The exercise price per share of an option or SAR will in no event be less than 100% of the fair market value per share of our common stock underlying the award on the date of</w:t>
      </w:r>
      <w:r>
        <w:rPr>
          <w:rFonts w:ascii="Arial" w:cs="Arial" w:eastAsia="Arial" w:hAnsi="Arial"/>
          <w:sz w:val="12"/>
          <w:szCs w:val="12"/>
          <w:i w:val="1"/>
          <w:iCs w:val="1"/>
          <w:color w:val="auto"/>
        </w:rPr>
        <w:t xml:space="preserve"> </w:t>
      </w:r>
      <w:r>
        <w:rPr>
          <w:rFonts w:ascii="Arial" w:cs="Arial" w:eastAsia="Arial" w:hAnsi="Arial"/>
          <w:sz w:val="12"/>
          <w:szCs w:val="12"/>
          <w:color w:val="auto"/>
        </w:rPr>
        <w:t>grant, unless such award is granted in substitution for an option or SAR previously granted by a merged or acquired entity. Without the approval of shareholders, we will not amend or replace previously granted options or SARs in a transaction that constitutes a “repricing” as defined in the 2019 Stock Plan.</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2"/>
          <w:szCs w:val="12"/>
          <w:i w:val="1"/>
          <w:iCs w:val="1"/>
          <w:color w:val="auto"/>
        </w:rPr>
        <w:t>Vesting</w:t>
      </w:r>
      <w:r>
        <w:rPr>
          <w:rFonts w:ascii="Arial" w:cs="Arial" w:eastAsia="Arial" w:hAnsi="Arial"/>
          <w:sz w:val="12"/>
          <w:szCs w:val="12"/>
          <w:color w:val="auto"/>
        </w:rPr>
        <w:t>. The Committee has the discretion to determine when and under what circumstances an option or SAR will vest, subject to minimum vesting provisions described above.</w:t>
      </w:r>
    </w:p>
    <w:p>
      <w:pPr>
        <w:spacing w:after="0" w:line="78" w:lineRule="exact"/>
        <w:rPr>
          <w:sz w:val="20"/>
          <w:szCs w:val="20"/>
          <w:color w:val="auto"/>
        </w:rPr>
      </w:pPr>
    </w:p>
    <w:p>
      <w:pPr>
        <w:jc w:val="both"/>
        <w:ind w:left="640" w:right="380"/>
        <w:spacing w:after="0" w:line="286" w:lineRule="auto"/>
        <w:rPr>
          <w:sz w:val="20"/>
          <w:szCs w:val="20"/>
          <w:color w:val="auto"/>
        </w:rPr>
      </w:pPr>
      <w:r>
        <w:rPr>
          <w:rFonts w:ascii="Arial" w:cs="Arial" w:eastAsia="Arial" w:hAnsi="Arial"/>
          <w:sz w:val="12"/>
          <w:szCs w:val="12"/>
          <w:i w:val="1"/>
          <w:iCs w:val="1"/>
          <w:color w:val="auto"/>
        </w:rPr>
        <w:t>Exercise</w:t>
      </w:r>
      <w:r>
        <w:rPr>
          <w:rFonts w:ascii="Arial" w:cs="Arial" w:eastAsia="Arial" w:hAnsi="Arial"/>
          <w:sz w:val="12"/>
          <w:szCs w:val="12"/>
          <w:color w:val="auto"/>
        </w:rPr>
        <w:t>. The Committee has the discretion to determine the method or methods by which an option or SAR may be exercised, which methods may include a net exercise. The Committee is not</w:t>
      </w:r>
      <w:r>
        <w:rPr>
          <w:rFonts w:ascii="Arial" w:cs="Arial" w:eastAsia="Arial" w:hAnsi="Arial"/>
          <w:sz w:val="12"/>
          <w:szCs w:val="12"/>
          <w:i w:val="1"/>
          <w:iCs w:val="1"/>
          <w:color w:val="auto"/>
        </w:rPr>
        <w:t xml:space="preserve"> </w:t>
      </w:r>
      <w:r>
        <w:rPr>
          <w:rFonts w:ascii="Arial" w:cs="Arial" w:eastAsia="Arial" w:hAnsi="Arial"/>
          <w:sz w:val="12"/>
          <w:szCs w:val="12"/>
          <w:color w:val="auto"/>
        </w:rPr>
        <w:t>authorized under the 2019 Stock Plan to accept a promissory note as consideration.</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2"/>
          <w:szCs w:val="12"/>
          <w:i w:val="1"/>
          <w:iCs w:val="1"/>
          <w:color w:val="auto"/>
        </w:rPr>
        <w:t>Expiration</w:t>
      </w:r>
      <w:r>
        <w:rPr>
          <w:rFonts w:ascii="Arial" w:cs="Arial" w:eastAsia="Arial" w:hAnsi="Arial"/>
          <w:sz w:val="12"/>
          <w:szCs w:val="12"/>
          <w:color w:val="auto"/>
        </w:rPr>
        <w:t>. Options and SARs will expire at such time as the Committee determines; provided, however, that no option or SAR may be exercised more than ten years from the date of grant.</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Furthermore, notwithstanding the foregoing, in the case of an ISO granted to a 10% shareholder, the option may not be exercised more than five years from the date of grant.</w:t>
      </w:r>
    </w:p>
    <w:p>
      <w:pPr>
        <w:spacing w:after="0" w:line="66" w:lineRule="exact"/>
        <w:rPr>
          <w:sz w:val="20"/>
          <w:szCs w:val="20"/>
          <w:color w:val="auto"/>
        </w:rPr>
      </w:pPr>
    </w:p>
    <w:p>
      <w:pPr>
        <w:jc w:val="both"/>
        <w:ind w:left="640" w:right="380"/>
        <w:spacing w:after="0" w:line="257" w:lineRule="auto"/>
        <w:rPr>
          <w:sz w:val="20"/>
          <w:szCs w:val="20"/>
          <w:color w:val="auto"/>
        </w:rPr>
      </w:pPr>
      <w:r>
        <w:rPr>
          <w:rFonts w:ascii="Arial" w:cs="Arial" w:eastAsia="Arial" w:hAnsi="Arial"/>
          <w:sz w:val="12"/>
          <w:szCs w:val="12"/>
          <w:i w:val="1"/>
          <w:iCs w:val="1"/>
          <w:color w:val="auto"/>
        </w:rPr>
        <w:t xml:space="preserve">Special Limitations on ISOs. </w:t>
      </w:r>
      <w:r>
        <w:rPr>
          <w:rFonts w:ascii="Arial" w:cs="Arial" w:eastAsia="Arial" w:hAnsi="Arial"/>
          <w:sz w:val="12"/>
          <w:szCs w:val="12"/>
          <w:color w:val="auto"/>
        </w:rPr>
        <w:t>In the case of a grant of an option intended to qualify as an ISO, no such option may be granted to a participant who owns, at the time of the grant, stock</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representing more than 10% of the total combined voting power of all classes of our stock or our subsidiaries unless the exercise price per share of our common stock subject to such ISO is at least 110% of the fair market value per share of our common stock on the date of grant, and such ISO award is not exercisable more than five years after its date of grant. In addition, options designated as ISOs shall not be eligible for treatment under the Internal Revenue Code as ISOs to the extent that either: (i) the aggregate fair market value of shares of common stock (determined as of the time of grant) with respect to which such ISOs are exercisable for the first time by the participant during any calendar year exceeds $100,000 or (ii) such ISOs otherwise remain exercisable but are not exercised within three months after termination of employment (or such other period of time provided in Section 422 of the Internal Revenue Code).</w:t>
      </w:r>
    </w:p>
    <w:p>
      <w:pPr>
        <w:spacing w:after="0" w:line="121" w:lineRule="exact"/>
        <w:rPr>
          <w:sz w:val="20"/>
          <w:szCs w:val="20"/>
          <w:color w:val="auto"/>
        </w:rPr>
      </w:pPr>
    </w:p>
    <w:p>
      <w:pPr>
        <w:jc w:val="both"/>
        <w:ind w:left="420" w:hanging="212"/>
        <w:spacing w:after="0" w:line="262" w:lineRule="auto"/>
        <w:tabs>
          <w:tab w:leader="none" w:pos="412"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Restricted Stock and Restricted Stock Units.</w:t>
      </w:r>
      <w:r>
        <w:rPr>
          <w:rFonts w:ascii="Arial" w:cs="Arial" w:eastAsia="Arial" w:hAnsi="Arial"/>
          <w:sz w:val="12"/>
          <w:szCs w:val="12"/>
          <w:color w:val="auto"/>
        </w:rPr>
        <w:t xml:space="preserve"> The holder of restricted stock will own shares of our common stock subject to restrictions imposed by the Committee for a specified time period determined by the Committee. The holder of restricted stock units will have the right, subject to restrictions imposed by the Committee, to receive shares of our common stock at some future date determined by the Committee. The grant, issuance, retention, vesting and/or settlement of restricted stock and restricted stock units will occur at such times and in such installments as are determined by the Committee, subject to the minimum vesting provisions described above.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84" w:name="page85"/>
    <w:bookmarkEnd w:id="84"/>
    <w:p>
      <w:pPr>
        <w:jc w:val="both"/>
        <w:ind w:left="420" w:right="20" w:hanging="212"/>
        <w:spacing w:after="0" w:line="262" w:lineRule="auto"/>
        <w:tabs>
          <w:tab w:leader="none" w:pos="412"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Dividend Equivalents.</w:t>
      </w:r>
      <w:r>
        <w:rPr>
          <w:rFonts w:ascii="Arial" w:cs="Arial" w:eastAsia="Arial" w:hAnsi="Arial"/>
          <w:sz w:val="12"/>
          <w:szCs w:val="12"/>
          <w:color w:val="auto"/>
        </w:rPr>
        <w:t xml:space="preserve"> The holder of a dividend equivalent will be entitled to receive payments (in cash or shares of our common stock) equivalent to the amount of cash dividends paid by the Company to shareholders with respect to the number of shares determined by the Committee. Dividend equivalents will be subject to other terms and conditions determined by the Committee, but the Committee may not (i) grant dividend equivalents in connection with options or SARs, or (ii) pay a dividend equivalent with respect to a share underlying an award prior to the date on which all conditions or restrictions on such share have been satisfied or lapsed.</w:t>
      </w:r>
    </w:p>
    <w:p>
      <w:pPr>
        <w:spacing w:after="0" w:line="117" w:lineRule="exact"/>
        <w:rPr>
          <w:rFonts w:ascii="Arial" w:cs="Arial" w:eastAsia="Arial" w:hAnsi="Arial"/>
          <w:sz w:val="12"/>
          <w:szCs w:val="12"/>
          <w:color w:val="auto"/>
        </w:rPr>
      </w:pPr>
    </w:p>
    <w:p>
      <w:pPr>
        <w:jc w:val="both"/>
        <w:ind w:left="420" w:hanging="212"/>
        <w:spacing w:after="0" w:line="268" w:lineRule="auto"/>
        <w:tabs>
          <w:tab w:leader="none" w:pos="412"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Other Stock-Based Awards.</w:t>
      </w:r>
      <w:r>
        <w:rPr>
          <w:rFonts w:ascii="Arial" w:cs="Arial" w:eastAsia="Arial" w:hAnsi="Arial"/>
          <w:sz w:val="12"/>
          <w:szCs w:val="12"/>
          <w:color w:val="auto"/>
        </w:rPr>
        <w:t xml:space="preserve"> The Committee is also authorized to grant other types of awards that are denominated or payable in, valued in whole or in part by reference to, or otherwise based on or related to shares of our common stock, subject to terms and conditions determined by the Committee and the limitations in the 2019 Stock Plan. No such stock-based awards will contain a purchase right or an option-like exercise feature.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u w:val="single" w:color="auto"/>
          <w:color w:val="auto"/>
        </w:rPr>
        <w:t>Termination and Amendment.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2019 Stock Plan has a term of ten years expiring on June 25, 2029, unless terminated earlier by the Board. The Board may from time to time amend, suspend or terminate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2019 Stock Plan. No amendment or modification of the 2019 Stock Plan may be made that would adversely affect any outstanding award without the consent of the participant or the current holder of the award (except in the case of a corporate transaction as described below). Amendments to the 2019 Stock Plan must be approved by the shareholders, if required under the listing requirements of the Nasdaq Global Select Market or any other securities exchange applicable to the Company, or if the amendment would (i) increase the number of shares authorized under the 2019 Stock Plan, (ii) permit a repricing of options or SARs, (iii) permit the award of options or SARs with an exercise price less than 100% of the fair market value of a share on the date of grant, (iv) increase the maximum term of options or SARs, or (v) increase the annual per-person share limits under the 2019 Stock Plan.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u w:val="single" w:color="auto"/>
          <w:color w:val="auto"/>
        </w:rPr>
        <w:t>Effect of Corporate Transaction.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Awards under the 2019 Stock Plan are generally subject to special provisions upon the occurrence of any reorganization, merger, consolidation, split-up, spin-off, combination,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plan of arrangement, take-over bid or tender offer, repurchase or exchange of shares, or any other similar corporate transaction or event involving the Company. In the event of such a corporate transaction, the Committee or the Board may provide for any of the following to be effective upon the occurrence of the event (or effective immediately prior to the consummation of such event, provided the event is consummated):</w:t>
      </w:r>
    </w:p>
    <w:p>
      <w:pPr>
        <w:spacing w:after="0" w:line="114" w:lineRule="exact"/>
        <w:rPr>
          <w:sz w:val="20"/>
          <w:szCs w:val="20"/>
          <w:color w:val="auto"/>
        </w:rPr>
      </w:pPr>
    </w:p>
    <w:p>
      <w:pPr>
        <w:ind w:left="420" w:right="20" w:hanging="212"/>
        <w:spacing w:after="0" w:line="286" w:lineRule="auto"/>
        <w:tabs>
          <w:tab w:leader="none" w:pos="417" w:val="left"/>
        </w:tabs>
        <w:numPr>
          <w:ilvl w:val="0"/>
          <w:numId w:val="77"/>
        </w:numPr>
        <w:rPr>
          <w:rFonts w:ascii="Arial" w:cs="Arial" w:eastAsia="Arial" w:hAnsi="Arial"/>
          <w:sz w:val="12"/>
          <w:szCs w:val="12"/>
          <w:color w:val="auto"/>
        </w:rPr>
      </w:pPr>
      <w:r>
        <w:rPr>
          <w:rFonts w:ascii="Arial" w:cs="Arial" w:eastAsia="Arial" w:hAnsi="Arial"/>
          <w:sz w:val="12"/>
          <w:szCs w:val="12"/>
          <w:color w:val="auto"/>
        </w:rPr>
        <w:t>termination of any award, whether vested or not, in exchange for an amount of cash and/or other property equal to the amount that would have been attained upon exercise of the award or the realization of the participant’s rights under the award. Awards may be terminated without payment if the Committee or Board determines that no amount is realizable under the award as of the time of the transaction;</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replacement of any award with other rights or property selected by the Committee or the Board of Directors, in its sole discretion;</w:t>
      </w:r>
    </w:p>
    <w:p>
      <w:pPr>
        <w:spacing w:after="0" w:line="78"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assumption of any award by the successor or survivor entity (or its parent or subsidiary) or the arrangement for the substitution for similar awards covering the stock of such successor entity with appropriate adjustments as to the number and kind of shares and prices;</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require that any award shall become exercisable or payable or fully vested, notwithstanding anything to the contrary in the applicable award agreement;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require that the award cannot vest, be exercised or become payable until after a future date, which may be the effective date of the corporate transaction.</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u w:val="single" w:color="auto"/>
          <w:color w:val="auto"/>
        </w:rPr>
        <w:t>Limited Transferability of Awards.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Generally, no award or other right or interest of a participant under the 2019 Stock Plan (other than fully vested and unrestricted shares issued pursuant to an award) shall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transferable by a participant other than by will or by the laws of descent and distribution, and no right or award may be pledged, alienated, attached or otherwise encumbered, and any purported pledge, alienation, attachment or encumbrance shall be void and unenforceable against the Company or any affiliates. However, the Committee may allow transfer of an award to family members for no value, and such transfer shall comply with the General Instructions to Form S-8 under the Securities Act of 1933, as amended. The Committee may establish procedures to allow a named beneficiary to exercise the rights of the participant and receive any property distributable with respect to any award upon the participant’s death.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color w:val="auto"/>
        </w:rPr>
        <w:t>Federal Income Tax Consequences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Grant of Options and SARs</w:t>
      </w:r>
      <w:r>
        <w:rPr>
          <w:rFonts w:ascii="Arial" w:cs="Arial" w:eastAsia="Arial" w:hAnsi="Arial"/>
          <w:sz w:val="12"/>
          <w:szCs w:val="12"/>
          <w:color w:val="auto"/>
        </w:rPr>
        <w:t>. The grant of a stock option or SAR is not expected to result in any taxable income to the recipient.</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u w:val="single" w:color="auto"/>
          <w:color w:val="auto"/>
        </w:rPr>
        <w:t>Exercise of Options and SARs</w:t>
      </w:r>
      <w:r>
        <w:rPr>
          <w:rFonts w:ascii="Arial" w:cs="Arial" w:eastAsia="Arial" w:hAnsi="Arial"/>
          <w:sz w:val="12"/>
          <w:szCs w:val="12"/>
          <w:color w:val="auto"/>
        </w:rPr>
        <w:t>. Upon exercising a non-qualified stock option, the optionee must recognize ordinary income equal to the excess of the fair market value of the shares of the Company’s common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stock acquired on the date of exercise over the exercise price, and we generally will be entitled at that time to an income tax deduction for the same amount. The holder of an ISO generally will have no taxable income upon exercising the option (except that an alternative minimum tax liability may arise), and we will not be entitled to an income tax deduction. Upon exercising a SAR, the amount of any cash received and the fair market value on the exercise date of any shares of our common stock received are taxable to the recipient as ordinary income and generally are deductible by us.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u w:val="single" w:color="auto"/>
          <w:color w:val="auto"/>
        </w:rPr>
        <w:t>Disposition of Shares Acquired Upon Exercise of Options and SARs</w:t>
      </w:r>
      <w:r>
        <w:rPr>
          <w:rFonts w:ascii="Arial" w:cs="Arial" w:eastAsia="Arial" w:hAnsi="Arial"/>
          <w:sz w:val="12"/>
          <w:szCs w:val="12"/>
          <w:color w:val="auto"/>
        </w:rPr>
        <w:t>. The tax consequence upon a disposition of shares acquired through the exercise of an option or SAR will depend on how long the shares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have been held and whether the shares were acquired by exercising an ISO or by exercising a non-qualified stock option or SAR. Generally, there will be no tax consequence to the Company in connection with the disposition of shares acquired under an option or SAR, except that the Company may be entitled to an income tax deduction in the case of the disposition of shares acquired under an ISO, if the disposition occurs before the applicable ISO holding periods set forth in the Internal Revenue Code have been satisfied.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u w:val="single" w:color="auto"/>
          <w:color w:val="auto"/>
        </w:rPr>
        <w:t>Awards Other than Options and SARs</w:t>
      </w:r>
      <w:r>
        <w:rPr>
          <w:rFonts w:ascii="Arial" w:cs="Arial" w:eastAsia="Arial" w:hAnsi="Arial"/>
          <w:sz w:val="12"/>
          <w:szCs w:val="12"/>
          <w:color w:val="auto"/>
        </w:rPr>
        <w:t>. If an award is payable in shares of our common stock that are subject to substantial risk of forfeiture, unless a special election is made by the holder of the award under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Internal Revenue Code, the holder must recognize ordinary income equal to the excess of: (i) the fair market value of the shares received (determined as of the first time the shares become transferable or not subject to substantial risk of forfeiture, whichever occurs earlier) over (ii) the amount (if any) paid for the shares by the holder of the award. We will generally be entitled at that time to an income tax deduction for the same amount. As to other awards granted under the 2019 Stock Plan that are payable either in cash or shares of our common stock not subject to substantial risk of forfeiture, the holder of the award must recognize ordinary income equal to: (a) the amount of cash received or, as applicable, (b) the excess of (i) the fair market value of the shares received (determined as of the date such shares are received) over (ii) the amount (if any) paid for the shares by the holder of the award.</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u w:val="single" w:color="auto"/>
          <w:color w:val="auto"/>
        </w:rPr>
        <w:t>Income Tax Deduction</w:t>
      </w:r>
      <w:r>
        <w:rPr>
          <w:rFonts w:ascii="Arial" w:cs="Arial" w:eastAsia="Arial" w:hAnsi="Arial"/>
          <w:sz w:val="12"/>
          <w:szCs w:val="12"/>
          <w:color w:val="auto"/>
        </w:rPr>
        <w:t>. Subject to the usual rules concerning reasonable compensation, including our obligation to withhold or otherwise collect certain income and payroll taxes, we generally will be entitled to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corresponding income tax deduction at the time a participant recognizes ordinary income from awards made under the 2019 Stock Plan. However, Section 162(m) of the Code prohibits publicly held corporations from deducting more than $1 million per year in compensation paid to certain named executive officers. The Tax Cuts and Jobs Act (the “Act”), which was signed into law at the end of 2017, made significant changes to the deduction limit under Section 162(m), which are effective for taxable years beginning on and after January 1, 2018. The Act eliminated the exception to the deduction limit for qualified performance-based compensation and broadens the application of the deduction limit to certain current and former executive officers who previously were exempt from such limit. Therefore, compensation paid to a covered executive under the 2019 Stock Plan in excess of $1 million generally will not be deductible.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u w:val="single" w:color="auto"/>
          <w:color w:val="auto"/>
        </w:rPr>
        <w:t>Special Rules for Executive Officers Subject to Section 16 of the Exchange Act.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Special rules may apply to individuals subject to Section 16 of the Exchange Act. In particular, unless a special election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made pursuant to the Internal Revenue Code, shares received through the exercise or settlement of an award may be treated as restricted as to transferability and subject to a substantial risk of forfeiture for a period of up to six months after the date of exercise. Accordingly, the amount of any ordinary income recognized and the amount of our income tax deduction will be determined as of the end of that period.</w:t>
      </w:r>
    </w:p>
    <w:p>
      <w:pPr>
        <w:spacing w:after="0" w:line="4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u w:val="single" w:color="auto"/>
          <w:color w:val="auto"/>
        </w:rPr>
        <w:t>Section 409A of the Internal Revenue Code.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Committee intends to administer and interpret the 2019 Stock Plan and all award agreements in a manner consistent to satisfy the requirements of Section 409A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the Internal Revenue Code to avoid any adverse tax results thereunder to a holder of an award.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86" w:name="page87"/>
    <w:bookmarkEnd w:id="86"/>
    <w:p>
      <w:pPr>
        <w:ind w:left="8"/>
        <w:spacing w:after="0"/>
        <w:rPr>
          <w:sz w:val="20"/>
          <w:szCs w:val="20"/>
          <w:color w:val="auto"/>
        </w:rPr>
      </w:pPr>
      <w:r>
        <w:rPr>
          <w:rFonts w:ascii="Arial" w:cs="Arial" w:eastAsia="Arial" w:hAnsi="Arial"/>
          <w:sz w:val="12"/>
          <w:szCs w:val="12"/>
          <w:b w:val="1"/>
          <w:bCs w:val="1"/>
          <w:color w:val="05445E"/>
        </w:rPr>
        <w:t>Equity Compensation Plan Information</w:t>
      </w:r>
    </w:p>
    <w:p>
      <w:pPr>
        <w:spacing w:after="0" w:line="150"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February 28, 2026, the last day of fiscal 2026. The table does not include the additional shares to be authorized for the 2019 Stock Incentive Plan under Proposal 3.</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rPr>
              <w:t>Number of Securities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Remaining Available for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Future Issuance Under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rPr>
              <w:t>Number of Securities to be</w:t>
            </w:r>
          </w:p>
        </w:tc>
        <w:tc>
          <w:tcPr>
            <w:tcW w:w="58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05445E"/>
                <w:w w:val="98"/>
              </w:rPr>
              <w:t>Weighted-Average Exercise</w:t>
            </w:r>
          </w:p>
        </w:tc>
        <w:tc>
          <w:tcPr>
            <w:tcW w:w="4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Equity Compensation Plans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Issued upon Exercise of</w:t>
            </w:r>
          </w:p>
        </w:tc>
        <w:tc>
          <w:tcPr>
            <w:tcW w:w="58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05445E"/>
                <w:w w:val="99"/>
              </w:rPr>
              <w:t>Price of Outstanding</w:t>
            </w:r>
          </w:p>
        </w:tc>
        <w:tc>
          <w:tcPr>
            <w:tcW w:w="4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(Excluding Securities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Outstanding Options,</w:t>
            </w:r>
          </w:p>
        </w:tc>
        <w:tc>
          <w:tcPr>
            <w:tcW w:w="58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05445E"/>
                <w:w w:val="99"/>
              </w:rPr>
              <w:t>Options, Warrants and</w:t>
            </w:r>
          </w:p>
        </w:tc>
        <w:tc>
          <w:tcPr>
            <w:tcW w:w="4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5445E"/>
                <w:w w:val="99"/>
              </w:rPr>
              <w:t>Reflected in the First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tcBorders>
              <w:bottom w:val="single" w:sz="8" w:color="929292"/>
            </w:tcBorders>
          </w:tcPr>
          <w:p>
            <w:pPr>
              <w:spacing w:after="0"/>
              <w:rPr>
                <w:sz w:val="20"/>
                <w:szCs w:val="20"/>
                <w:color w:val="auto"/>
              </w:rPr>
            </w:pPr>
            <w:r>
              <w:rPr>
                <w:rFonts w:ascii="Arial" w:cs="Arial" w:eastAsia="Arial" w:hAnsi="Arial"/>
                <w:sz w:val="12"/>
                <w:szCs w:val="12"/>
                <w:b w:val="1"/>
                <w:bCs w:val="1"/>
                <w:color w:val="05445E"/>
              </w:rPr>
              <w:t>Plan Category</w:t>
            </w:r>
          </w:p>
        </w:tc>
        <w:tc>
          <w:tcPr>
            <w:tcW w:w="80" w:type="dxa"/>
            <w:vAlign w:val="bottom"/>
            <w:tcBorders>
              <w:bottom w:val="single" w:sz="8" w:color="DBDBDB"/>
            </w:tcBorders>
          </w:tcPr>
          <w:p>
            <w:pPr>
              <w:spacing w:after="0"/>
              <w:rPr>
                <w:sz w:val="14"/>
                <w:szCs w:val="14"/>
                <w:color w:val="auto"/>
              </w:rPr>
            </w:pPr>
          </w:p>
        </w:tc>
        <w:tc>
          <w:tcPr>
            <w:tcW w:w="170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rPr>
              <w:t>Warrants and Rights</w:t>
            </w:r>
          </w:p>
        </w:tc>
        <w:tc>
          <w:tcPr>
            <w:tcW w:w="580" w:type="dxa"/>
            <w:vAlign w:val="bottom"/>
            <w:tcBorders>
              <w:bottom w:val="single" w:sz="8" w:color="DBDBDB"/>
            </w:tcBorders>
          </w:tcPr>
          <w:p>
            <w:pPr>
              <w:spacing w:after="0"/>
              <w:rPr>
                <w:sz w:val="14"/>
                <w:szCs w:val="14"/>
                <w:color w:val="auto"/>
              </w:rPr>
            </w:pPr>
          </w:p>
        </w:tc>
        <w:tc>
          <w:tcPr>
            <w:tcW w:w="172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w w:val="96"/>
              </w:rPr>
              <w:t>Rights</w:t>
            </w:r>
          </w:p>
        </w:tc>
        <w:tc>
          <w:tcPr>
            <w:tcW w:w="420" w:type="dxa"/>
            <w:vAlign w:val="bottom"/>
            <w:tcBorders>
              <w:bottom w:val="single" w:sz="8" w:color="DBDBDB"/>
            </w:tcBorders>
          </w:tcPr>
          <w:p>
            <w:pPr>
              <w:spacing w:after="0"/>
              <w:rPr>
                <w:sz w:val="14"/>
                <w:szCs w:val="14"/>
                <w:color w:val="auto"/>
              </w:rPr>
            </w:pPr>
          </w:p>
        </w:tc>
        <w:tc>
          <w:tcPr>
            <w:tcW w:w="1700" w:type="dxa"/>
            <w:vAlign w:val="bottom"/>
            <w:tcBorders>
              <w:bottom w:val="single" w:sz="8" w:color="929292"/>
            </w:tcBorders>
          </w:tcPr>
          <w:p>
            <w:pPr>
              <w:jc w:val="center"/>
              <w:spacing w:after="0"/>
              <w:rPr>
                <w:sz w:val="20"/>
                <w:szCs w:val="20"/>
                <w:color w:val="auto"/>
              </w:rPr>
            </w:pPr>
            <w:r>
              <w:rPr>
                <w:rFonts w:ascii="Arial" w:cs="Arial" w:eastAsia="Arial" w:hAnsi="Arial"/>
                <w:sz w:val="12"/>
                <w:szCs w:val="12"/>
                <w:b w:val="1"/>
                <w:bCs w:val="1"/>
                <w:color w:val="05445E"/>
              </w:rPr>
              <w:t>Column)</w:t>
            </w:r>
          </w:p>
        </w:tc>
        <w:tc>
          <w:tcPr>
            <w:tcW w:w="34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4620" w:type="dxa"/>
            <w:vAlign w:val="bottom"/>
            <w:gridSpan w:val="2"/>
            <w:vMerge w:val="restart"/>
            <w:shd w:val="clear" w:color="auto" w:fill="DBDBDB"/>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170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6"/>
              </w:rPr>
              <w:t>230,273</w:t>
            </w:r>
          </w:p>
        </w:tc>
        <w:tc>
          <w:tcPr>
            <w:tcW w:w="580" w:type="dxa"/>
            <w:vAlign w:val="bottom"/>
            <w:shd w:val="clear" w:color="auto" w:fill="DBDBDB"/>
          </w:tcPr>
          <w:p>
            <w:pPr>
              <w:jc w:val="right"/>
              <w:ind w:right="321"/>
              <w:spacing w:after="0" w:line="86" w:lineRule="exact"/>
              <w:rPr>
                <w:sz w:val="20"/>
                <w:szCs w:val="20"/>
                <w:color w:val="auto"/>
              </w:rPr>
            </w:pPr>
            <w:r>
              <w:rPr>
                <w:rFonts w:ascii="Arial" w:cs="Arial" w:eastAsia="Arial" w:hAnsi="Arial"/>
                <w:sz w:val="8"/>
                <w:szCs w:val="8"/>
                <w:color w:val="auto"/>
              </w:rPr>
              <w:t>(1)(2)</w:t>
            </w:r>
          </w:p>
        </w:tc>
        <w:tc>
          <w:tcPr>
            <w:tcW w:w="17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9"/>
              </w:rPr>
              <w:t>N/A</w:t>
            </w:r>
          </w:p>
        </w:tc>
        <w:tc>
          <w:tcPr>
            <w:tcW w:w="420" w:type="dxa"/>
            <w:vAlign w:val="bottom"/>
            <w:shd w:val="clear" w:color="auto" w:fill="DBDBDB"/>
          </w:tcPr>
          <w:p>
            <w:pPr>
              <w:jc w:val="right"/>
              <w:ind w:right="281"/>
              <w:spacing w:after="0" w:line="86" w:lineRule="exact"/>
              <w:rPr>
                <w:sz w:val="20"/>
                <w:szCs w:val="20"/>
                <w:color w:val="auto"/>
              </w:rPr>
            </w:pPr>
            <w:r>
              <w:rPr>
                <w:rFonts w:ascii="Arial" w:cs="Arial" w:eastAsia="Arial" w:hAnsi="Arial"/>
                <w:sz w:val="8"/>
                <w:szCs w:val="8"/>
                <w:color w:val="auto"/>
                <w:w w:val="81"/>
              </w:rPr>
              <w:t>(3)</w:t>
            </w:r>
          </w:p>
        </w:tc>
        <w:tc>
          <w:tcPr>
            <w:tcW w:w="170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6"/>
              </w:rPr>
              <w:t>534,566</w:t>
            </w:r>
          </w:p>
        </w:tc>
        <w:tc>
          <w:tcPr>
            <w:tcW w:w="340" w:type="dxa"/>
            <w:vAlign w:val="bottom"/>
            <w:shd w:val="clear" w:color="auto" w:fill="DBDBDB"/>
          </w:tcPr>
          <w:p>
            <w:pPr>
              <w:jc w:val="right"/>
              <w:ind w:right="181"/>
              <w:spacing w:after="0" w:line="86" w:lineRule="exact"/>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88"/>
        </w:trPr>
        <w:tc>
          <w:tcPr>
            <w:tcW w:w="4620" w:type="dxa"/>
            <w:vAlign w:val="bottom"/>
            <w:gridSpan w:val="2"/>
            <w:vMerge w:val="continue"/>
            <w:shd w:val="clear" w:color="auto" w:fill="DBDBDB"/>
          </w:tcPr>
          <w:p>
            <w:pPr>
              <w:spacing w:after="0"/>
              <w:rPr>
                <w:sz w:val="7"/>
                <w:szCs w:val="7"/>
                <w:color w:val="auto"/>
              </w:rPr>
            </w:pPr>
          </w:p>
        </w:tc>
        <w:tc>
          <w:tcPr>
            <w:tcW w:w="1700" w:type="dxa"/>
            <w:vAlign w:val="bottom"/>
            <w:vMerge w:val="continue"/>
            <w:shd w:val="clear" w:color="auto" w:fill="DBDBDB"/>
          </w:tcPr>
          <w:p>
            <w:pPr>
              <w:spacing w:after="0"/>
              <w:rPr>
                <w:sz w:val="7"/>
                <w:szCs w:val="7"/>
                <w:color w:val="auto"/>
              </w:rPr>
            </w:pPr>
          </w:p>
        </w:tc>
        <w:tc>
          <w:tcPr>
            <w:tcW w:w="580" w:type="dxa"/>
            <w:vAlign w:val="bottom"/>
            <w:shd w:val="clear" w:color="auto" w:fill="DBDBDB"/>
          </w:tcPr>
          <w:p>
            <w:pPr>
              <w:spacing w:after="0"/>
              <w:rPr>
                <w:sz w:val="7"/>
                <w:szCs w:val="7"/>
                <w:color w:val="auto"/>
              </w:rPr>
            </w:pPr>
          </w:p>
        </w:tc>
        <w:tc>
          <w:tcPr>
            <w:tcW w:w="1720" w:type="dxa"/>
            <w:vAlign w:val="bottom"/>
            <w:vMerge w:val="continue"/>
            <w:shd w:val="clear" w:color="auto" w:fill="DBDBDB"/>
          </w:tcPr>
          <w:p>
            <w:pPr>
              <w:spacing w:after="0"/>
              <w:rPr>
                <w:sz w:val="7"/>
                <w:szCs w:val="7"/>
                <w:color w:val="auto"/>
              </w:rPr>
            </w:pPr>
          </w:p>
        </w:tc>
        <w:tc>
          <w:tcPr>
            <w:tcW w:w="420" w:type="dxa"/>
            <w:vAlign w:val="bottom"/>
            <w:shd w:val="clear" w:color="auto" w:fill="DBDBDB"/>
          </w:tcPr>
          <w:p>
            <w:pPr>
              <w:spacing w:after="0"/>
              <w:rPr>
                <w:sz w:val="7"/>
                <w:szCs w:val="7"/>
                <w:color w:val="auto"/>
              </w:rPr>
            </w:pPr>
          </w:p>
        </w:tc>
        <w:tc>
          <w:tcPr>
            <w:tcW w:w="1700" w:type="dxa"/>
            <w:vAlign w:val="bottom"/>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620" w:type="dxa"/>
            <w:vAlign w:val="bottom"/>
            <w:tcBorders>
              <w:bottom w:val="single" w:sz="8" w:color="DBDBDB"/>
            </w:tcBorders>
            <w:gridSpan w:val="2"/>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None</w:t>
            </w:r>
          </w:p>
        </w:tc>
        <w:tc>
          <w:tcPr>
            <w:tcW w:w="580" w:type="dxa"/>
            <w:vAlign w:val="bottom"/>
            <w:tcBorders>
              <w:bottom w:val="single" w:sz="8" w:color="DBDBDB"/>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None</w:t>
            </w:r>
          </w:p>
        </w:tc>
        <w:tc>
          <w:tcPr>
            <w:tcW w:w="420" w:type="dxa"/>
            <w:vAlign w:val="bottom"/>
            <w:tcBorders>
              <w:bottom w:val="single" w:sz="8" w:color="DBDBDB"/>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None</w:t>
            </w:r>
          </w:p>
        </w:tc>
        <w:tc>
          <w:tcPr>
            <w:tcW w:w="34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6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2"/>
                <w:szCs w:val="12"/>
                <w:color w:val="auto"/>
              </w:rPr>
              <w:t>Total</w:t>
            </w:r>
          </w:p>
        </w:tc>
        <w:tc>
          <w:tcPr>
            <w:tcW w:w="17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6"/>
              </w:rPr>
              <w:t>230,273</w:t>
            </w:r>
          </w:p>
        </w:tc>
        <w:tc>
          <w:tcPr>
            <w:tcW w:w="580" w:type="dxa"/>
            <w:vAlign w:val="bottom"/>
            <w:tcBorders>
              <w:bottom w:val="single" w:sz="8" w:color="DBDBDB"/>
            </w:tcBorders>
            <w:shd w:val="clear" w:color="auto" w:fill="DBDBDB"/>
          </w:tcPr>
          <w:p>
            <w:pPr>
              <w:spacing w:after="0"/>
              <w:rPr>
                <w:sz w:val="16"/>
                <w:szCs w:val="16"/>
                <w:color w:val="auto"/>
              </w:rPr>
            </w:pPr>
          </w:p>
        </w:tc>
        <w:tc>
          <w:tcPr>
            <w:tcW w:w="17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N/A</w:t>
            </w:r>
          </w:p>
        </w:tc>
        <w:tc>
          <w:tcPr>
            <w:tcW w:w="420" w:type="dxa"/>
            <w:vAlign w:val="bottom"/>
            <w:tcBorders>
              <w:bottom w:val="single" w:sz="8" w:color="DBDBDB"/>
            </w:tcBorders>
            <w:shd w:val="clear" w:color="auto" w:fill="DBDBDB"/>
          </w:tcPr>
          <w:p>
            <w:pPr>
              <w:spacing w:after="0"/>
              <w:rPr>
                <w:sz w:val="16"/>
                <w:szCs w:val="16"/>
                <w:color w:val="auto"/>
              </w:rPr>
            </w:pPr>
          </w:p>
        </w:tc>
        <w:tc>
          <w:tcPr>
            <w:tcW w:w="17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6"/>
              </w:rPr>
              <w:t>534,566</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68" w:lineRule="exact"/>
        <w:rPr>
          <w:sz w:val="20"/>
          <w:szCs w:val="20"/>
          <w:color w:val="auto"/>
        </w:rPr>
      </w:pPr>
    </w:p>
    <w:p>
      <w:pPr>
        <w:jc w:val="both"/>
        <w:ind w:left="328" w:hanging="328"/>
        <w:spacing w:after="0" w:line="262" w:lineRule="auto"/>
        <w:tabs>
          <w:tab w:leader="none" w:pos="322"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75,783 shares underlying performance share unit awards granted under our 2019 Stock Incentive Plan, assuming maximum performance; 133,967 restricted stock unit awards granted under our 2019 Stock Incentive Plan, 2009 Non-Employee Director Stock Plan, and 2019 Non-Employee Director Stock Plan; and 20,523 phantom shares under our prior Deferred Compensation Plan for Non-Employee Directors. Dividends accrue on the outstanding performance share units during the three-year performance periods but will be paid only on shares earned at the end of each performance cycle. Certain outstanding restricted stock units have dividend rights attached, but none of the restricted stock units are transferable.</w:t>
      </w:r>
    </w:p>
    <w:p>
      <w:pPr>
        <w:spacing w:after="0" w:line="45" w:lineRule="exact"/>
        <w:rPr>
          <w:rFonts w:ascii="Arial" w:cs="Arial" w:eastAsia="Arial" w:hAnsi="Arial"/>
          <w:sz w:val="12"/>
          <w:szCs w:val="12"/>
          <w:color w:val="auto"/>
        </w:rPr>
      </w:pPr>
    </w:p>
    <w:p>
      <w:pPr>
        <w:jc w:val="both"/>
        <w:ind w:left="328" w:hanging="328"/>
        <w:spacing w:after="0" w:line="262" w:lineRule="auto"/>
        <w:tabs>
          <w:tab w:leader="none" w:pos="322"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the beginning of fiscal years 2024, 2025 and 2026, performance share units were awarded to plan participants which will vest based on our Company’s performance over each three-year performance period. The performance share units represent the right to receive shares of our common stock at the end of each three-year performance period. Pursuant to SEC rules and the reporting requirements for this table, we have included in this column 75,783 shares underlying the outstanding performance share units at maximum performance, assuming our Company performed at the maximum level during the applicable performance periods. Only 38,544 shares underly the performance awards at target level performance.</w:t>
      </w:r>
    </w:p>
    <w:p>
      <w:pPr>
        <w:spacing w:after="0" w:line="45" w:lineRule="exact"/>
        <w:rPr>
          <w:rFonts w:ascii="Arial" w:cs="Arial" w:eastAsia="Arial" w:hAnsi="Arial"/>
          <w:sz w:val="12"/>
          <w:szCs w:val="12"/>
          <w:color w:val="auto"/>
        </w:rPr>
      </w:pPr>
    </w:p>
    <w:p>
      <w:pPr>
        <w:ind w:left="328" w:hanging="328"/>
        <w:spacing w:after="0"/>
        <w:tabs>
          <w:tab w:leader="none" w:pos="328" w:val="left"/>
        </w:tabs>
        <w:numPr>
          <w:ilvl w:val="0"/>
          <w:numId w:val="78"/>
        </w:numPr>
        <w:rPr>
          <w:rFonts w:ascii="Arial" w:cs="Arial" w:eastAsia="Arial" w:hAnsi="Arial"/>
          <w:sz w:val="11"/>
          <w:szCs w:val="11"/>
          <w:color w:val="auto"/>
        </w:rPr>
      </w:pPr>
      <w:r>
        <w:rPr>
          <w:rFonts w:ascii="Arial" w:cs="Arial" w:eastAsia="Arial" w:hAnsi="Arial"/>
          <w:sz w:val="12"/>
          <w:szCs w:val="12"/>
          <w:color w:val="auto"/>
        </w:rPr>
        <w:t>In calculating the Weighted-Average Exercise Price of Outstanding Options, Warrants and Rights, restricted stock, restricted stock units and phantom shares do not have an exercise price.</w:t>
      </w:r>
    </w:p>
    <w:p>
      <w:pPr>
        <w:spacing w:after="0" w:line="78" w:lineRule="exact"/>
        <w:rPr>
          <w:rFonts w:ascii="Arial" w:cs="Arial" w:eastAsia="Arial" w:hAnsi="Arial"/>
          <w:sz w:val="11"/>
          <w:szCs w:val="11"/>
          <w:color w:val="auto"/>
        </w:rPr>
      </w:pPr>
    </w:p>
    <w:p>
      <w:pPr>
        <w:jc w:val="both"/>
        <w:ind w:left="328" w:hanging="328"/>
        <w:spacing w:after="0" w:line="268" w:lineRule="auto"/>
        <w:tabs>
          <w:tab w:leader="none" w:pos="322" w:val="left"/>
        </w:tabs>
        <w:numPr>
          <w:ilvl w:val="0"/>
          <w:numId w:val="78"/>
        </w:numPr>
        <w:rPr>
          <w:rFonts w:ascii="Arial" w:cs="Arial" w:eastAsia="Arial" w:hAnsi="Arial"/>
          <w:sz w:val="12"/>
          <w:szCs w:val="12"/>
          <w:color w:val="auto"/>
        </w:rPr>
      </w:pPr>
      <w:r>
        <w:rPr>
          <w:rFonts w:ascii="Arial" w:cs="Arial" w:eastAsia="Arial" w:hAnsi="Arial"/>
          <w:sz w:val="12"/>
          <w:szCs w:val="12"/>
          <w:color w:val="auto"/>
        </w:rPr>
        <w:t>Pursuant to SEC Rules and the reporting requirements for this table, of these shares, 3,822 are available for issuance under our Legacy Partnership Plan; 390,862 are available for grant under our 2019 Stock Incentive Plan; 125,142 are available for grant under our 2019 Non-Employee Director Stock Plan; and 14,740 are available for grant under our prior Deferred Compensation Plan for Non-Employee Directors.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05445E"/>
        </w:rPr>
        <w:t>Board Recommendation</w:t>
      </w:r>
    </w:p>
    <w:p>
      <w:pPr>
        <w:spacing w:after="0" w:line="150" w:lineRule="exact"/>
        <w:rPr>
          <w:sz w:val="20"/>
          <w:szCs w:val="20"/>
          <w:color w:val="auto"/>
        </w:rPr>
      </w:pPr>
    </w:p>
    <w:p>
      <w:pPr>
        <w:spacing w:after="0" w:line="296" w:lineRule="auto"/>
        <w:rPr>
          <w:sz w:val="20"/>
          <w:szCs w:val="20"/>
          <w:color w:val="auto"/>
        </w:rPr>
      </w:pPr>
      <w:r>
        <w:rPr>
          <w:rFonts w:ascii="Arial" w:cs="Arial" w:eastAsia="Arial" w:hAnsi="Arial"/>
          <w:sz w:val="12"/>
          <w:szCs w:val="12"/>
          <w:b w:val="1"/>
          <w:bCs w:val="1"/>
          <w:color w:val="auto"/>
        </w:rPr>
        <w:t>Our Board of Directors recommends that you vote FOR the adoption of The Apogee Enterprises, Inc. 2019 Stock Incentive Plan, as Amended and Restated (2026). Proxies will be voted FOR the proposal unless otherwise specified.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Proposal 4: Ratification of Appointment of Independent</w:t>
      </w: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Audit Committee has appointed Deloitte &amp; Touche LLP (“Deloitte”) as our independent registered public accounting firm for the fiscal year ending February 27, 2027, subject to a satisfactory evaluation of the firm’s performance in conducting our fiscal 2026 audit. Deloitte has served as our independent registered public accounting firm since fiscal 2003. The Audit Committee is responsible for the appointment, compensation and oversight of Deloitte and believes that the retention of Deloitte is in the best interests of the Company and its shareholders.</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While it is not required to do so, our Board of Directors is submitting the appointment of Deloitte to serve as our independent registered public accounting firm for the fiscal year ending February 27, 2027, to our shareholders for ratification as a matter of good corporate governance.</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If shareholders do not ratify the selection of Deloitte, the Audit Committee will consider whether it is appropriate to select another Independent Accounting Firm. Even if the selection of Deloitte is ratified by shareholders, the Audit Committee may, in its discretion, appoint a different firm of Independent Auditors at any time during the year if it determines that such a change would be in the best interests of the Company and our shareholders.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We have been advised that a representative from Deloitte will be present at the Annual Meeting. The representative will be available to respond to appropriate questions and will be given the opportunity to make a statement if the firm so desires.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Board Recommendation</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2"/>
          <w:szCs w:val="12"/>
          <w:b w:val="1"/>
          <w:bCs w:val="1"/>
          <w:color w:val="auto"/>
        </w:rPr>
        <w:t>Our Board of Directors recommends that you vote FOR the proposal to ratify the appointment of Deloitte &amp; Touche LLP as our independent registered public accounting firm for the fiscal year ending February 27, 2027. Proxies will be voted FOR the proposal unless otherwise specified.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89" w:name="page90"/>
    <w:bookmarkEnd w:id="89"/>
    <w:p>
      <w:pPr>
        <w:ind w:left="4680"/>
        <w:spacing w:after="0"/>
        <w:rPr>
          <w:sz w:val="20"/>
          <w:szCs w:val="20"/>
          <w:color w:val="auto"/>
        </w:rPr>
      </w:pPr>
      <w:r>
        <w:rPr>
          <w:rFonts w:ascii="Arial" w:cs="Arial" w:eastAsia="Arial" w:hAnsi="Arial"/>
          <w:sz w:val="17"/>
          <w:szCs w:val="17"/>
          <w:b w:val="1"/>
          <w:bCs w:val="1"/>
          <w:color w:val="auto"/>
        </w:rPr>
        <w:t>Audit Committee Report</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This report is furnished by the Audit Committee with respect to our financial statements for fiscal 2026.</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Audit Committee oversees our financial reporting process (including our system of financial controls and internal and external auditing procedures) on behalf of our Board; oversees our program to ensure compliance with legal and regulatory requirements and ethical business practices; assesses and establishes policies and procedures to manage our financial reporting risk; and assesses our compliance with financial covenants in our debt instruments. Our Audit Committee is responsible for the appointment, compensation, retention and oversight of the work of our independent registered public accounting firm.</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The Audit Committee reviewed and discussed the Company’s audited financial statements for the fiscal year ended February 28, 2026 with senior management and with Deloitte &amp; Touche LLP, the Company’s independent registered public accounting firm.</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performing its oversight role, the Audit Committee also (i) discussed with Deloitte &amp; Touche LLP the matters required to be discussed pursuant to applicable requirements of the Public Company Accounting Oversight Board and the Securities and Exchange Commission, (ii) discussed with Deloitte &amp; Touche LLP their independence and concluded that it is independent from the Company and management, and (iii) received the written disclosures and the letter from Deloitte &amp; Touche LLP required by applicable requirements of the Public Company Accounting Oversight Board regarding the independent accountant’s communications with the Audit Committee concerning independence.</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Based on the review and discussions referred to above, the Audit Committee recommended to the Company’s Board of Directors that the audited financial statements be included in the Company’s Annual Report on Form 10-K for the fiscal year ended February 28, 2026, for filing with the Securities and Exchange Commission.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Audit Committee of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Board of Directors of Apogee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Mark A. Pompa, </w:t>
      </w:r>
      <w:r>
        <w:rPr>
          <w:rFonts w:ascii="Arial" w:cs="Arial" w:eastAsia="Arial" w:hAnsi="Arial"/>
          <w:sz w:val="12"/>
          <w:szCs w:val="12"/>
          <w:i w:val="1"/>
          <w:iCs w:val="1"/>
          <w:color w:val="auto"/>
        </w:rPr>
        <w:t>Chair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Christina M. Alvord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Lloyd E. Johnson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Elizabeth M. Lilly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90" w:name="page91"/>
    <w:bookmarkEnd w:id="90"/>
    <w:p>
      <w:pPr>
        <w:ind w:left="3200"/>
        <w:spacing w:after="0"/>
        <w:rPr>
          <w:sz w:val="20"/>
          <w:szCs w:val="20"/>
          <w:color w:val="auto"/>
        </w:rPr>
      </w:pPr>
      <w:r>
        <w:rPr>
          <w:rFonts w:ascii="Arial" w:cs="Arial" w:eastAsia="Arial" w:hAnsi="Arial"/>
          <w:sz w:val="17"/>
          <w:szCs w:val="17"/>
          <w:b w:val="1"/>
          <w:bCs w:val="1"/>
          <w:color w:val="auto"/>
        </w:rPr>
        <w:t>Fees Paid to Independent Registered Public Accounting Firm</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Audit Fees, Audit-Related Fees, Tax Fees and All Other Fees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For fiscal 2026 and 2025, we incurred the fees shown in the following table for professional services provided by Deloitte &amp; Touche LLP, the member firms of Deloitte Touche Tohmatsu, and their respective affiliates (collectively, the “Deloitte Entities”).</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300" w:type="dxa"/>
            <w:vAlign w:val="bottom"/>
            <w:tcBorders>
              <w:bottom w:val="single" w:sz="8" w:color="D9D9D9"/>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05445E"/>
              </w:rPr>
              <w:t>Fiscal 2026</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D9D9D9"/>
            </w:tcBorders>
          </w:tcPr>
          <w:p>
            <w:pPr>
              <w:spacing w:after="0"/>
              <w:rPr>
                <w:sz w:val="14"/>
                <w:szCs w:val="14"/>
                <w:color w:val="auto"/>
              </w:rPr>
            </w:pPr>
          </w:p>
        </w:tc>
        <w:tc>
          <w:tcPr>
            <w:tcW w:w="19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05445E"/>
              </w:rPr>
              <w:t>Fiscal 2025</w:t>
            </w:r>
          </w:p>
        </w:tc>
        <w:tc>
          <w:tcPr>
            <w:tcW w:w="240" w:type="dxa"/>
            <w:vAlign w:val="bottom"/>
            <w:tcBorders>
              <w:bottom w:val="single" w:sz="8" w:color="D9D9D9"/>
            </w:tcBorders>
          </w:tcPr>
          <w:p>
            <w:pPr>
              <w:spacing w:after="0"/>
              <w:rPr>
                <w:sz w:val="14"/>
                <w:szCs w:val="14"/>
                <w:color w:val="auto"/>
              </w:rPr>
            </w:pPr>
          </w:p>
        </w:tc>
      </w:tr>
      <w:tr>
        <w:trPr>
          <w:trHeight w:val="174"/>
        </w:trPr>
        <w:tc>
          <w:tcPr>
            <w:tcW w:w="4300" w:type="dxa"/>
            <w:vAlign w:val="bottom"/>
            <w:shd w:val="clear" w:color="auto" w:fill="D9D9D9"/>
          </w:tcPr>
          <w:p>
            <w:pPr>
              <w:ind w:left="20"/>
              <w:spacing w:after="0"/>
              <w:rPr>
                <w:sz w:val="20"/>
                <w:szCs w:val="20"/>
                <w:color w:val="auto"/>
              </w:rPr>
            </w:pPr>
            <w:r>
              <w:rPr>
                <w:rFonts w:ascii="Arial" w:cs="Arial" w:eastAsia="Arial" w:hAnsi="Arial"/>
                <w:sz w:val="12"/>
                <w:szCs w:val="12"/>
                <w:color w:val="auto"/>
              </w:rPr>
              <w:t>Audit Fees</w:t>
            </w:r>
            <w:r>
              <w:rPr>
                <w:rFonts w:ascii="Arial" w:cs="Arial" w:eastAsia="Arial" w:hAnsi="Arial"/>
                <w:sz w:val="15"/>
                <w:szCs w:val="15"/>
                <w:color w:val="auto"/>
                <w:vertAlign w:val="superscript"/>
              </w:rPr>
              <w:t>(1)</w:t>
            </w:r>
          </w:p>
        </w:tc>
        <w:tc>
          <w:tcPr>
            <w:tcW w:w="40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160"/>
              <w:spacing w:after="0"/>
              <w:rPr>
                <w:sz w:val="20"/>
                <w:szCs w:val="20"/>
                <w:color w:val="auto"/>
              </w:rPr>
            </w:pPr>
            <w:r>
              <w:rPr>
                <w:rFonts w:ascii="Arial" w:cs="Arial" w:eastAsia="Arial" w:hAnsi="Arial"/>
                <w:sz w:val="12"/>
                <w:szCs w:val="12"/>
                <w:color w:val="auto"/>
              </w:rPr>
              <w:t>2,102,513</w:t>
            </w:r>
          </w:p>
        </w:tc>
        <w:tc>
          <w:tcPr>
            <w:tcW w:w="1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9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2,246,162</w:t>
            </w:r>
          </w:p>
        </w:tc>
        <w:tc>
          <w:tcPr>
            <w:tcW w:w="240" w:type="dxa"/>
            <w:vAlign w:val="bottom"/>
            <w:shd w:val="clear" w:color="auto" w:fill="D9D9D9"/>
          </w:tcPr>
          <w:p>
            <w:pPr>
              <w:spacing w:after="0"/>
              <w:rPr>
                <w:sz w:val="15"/>
                <w:szCs w:val="15"/>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2"/>
                <w:szCs w:val="12"/>
                <w:color w:val="auto"/>
              </w:rPr>
              <w:t>Audit-Related Fees</w:t>
            </w:r>
            <w:r>
              <w:rPr>
                <w:rFonts w:ascii="Arial" w:cs="Arial" w:eastAsia="Arial" w:hAnsi="Arial"/>
                <w:sz w:val="15"/>
                <w:szCs w:val="15"/>
                <w:color w:val="auto"/>
                <w:vertAlign w:val="superscript"/>
              </w:rPr>
              <w:t>(2)</w:t>
            </w:r>
          </w:p>
        </w:tc>
        <w:tc>
          <w:tcPr>
            <w:tcW w:w="400" w:type="dxa"/>
            <w:vAlign w:val="bottom"/>
          </w:tcPr>
          <w:p>
            <w:pPr>
              <w:spacing w:after="0"/>
              <w:rPr>
                <w:sz w:val="16"/>
                <w:szCs w:val="16"/>
                <w:color w:val="auto"/>
              </w:rPr>
            </w:pPr>
          </w:p>
        </w:tc>
        <w:tc>
          <w:tcPr>
            <w:tcW w:w="1520" w:type="dxa"/>
            <w:vAlign w:val="bottom"/>
          </w:tcPr>
          <w:p>
            <w:pPr>
              <w:jc w:val="right"/>
              <w:ind w:right="160"/>
              <w:spacing w:after="0"/>
              <w:rPr>
                <w:sz w:val="20"/>
                <w:szCs w:val="20"/>
                <w:color w:val="auto"/>
              </w:rPr>
            </w:pPr>
            <w:r>
              <w:rPr>
                <w:rFonts w:ascii="Arial" w:cs="Arial" w:eastAsia="Arial" w:hAnsi="Arial"/>
                <w:sz w:val="12"/>
                <w:szCs w:val="12"/>
                <w:color w:val="auto"/>
              </w:rPr>
              <w:t>300,000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right"/>
              <w:ind w:right="8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r>
      <w:tr>
        <w:trPr>
          <w:trHeight w:val="189"/>
        </w:trPr>
        <w:tc>
          <w:tcPr>
            <w:tcW w:w="4300" w:type="dxa"/>
            <w:vAlign w:val="bottom"/>
            <w:shd w:val="clear" w:color="auto" w:fill="D9D9D9"/>
          </w:tcPr>
          <w:p>
            <w:pPr>
              <w:ind w:left="20"/>
              <w:spacing w:after="0"/>
              <w:rPr>
                <w:sz w:val="20"/>
                <w:szCs w:val="20"/>
                <w:color w:val="auto"/>
              </w:rPr>
            </w:pPr>
            <w:r>
              <w:rPr>
                <w:rFonts w:ascii="Arial" w:cs="Arial" w:eastAsia="Arial" w:hAnsi="Arial"/>
                <w:sz w:val="12"/>
                <w:szCs w:val="12"/>
                <w:color w:val="auto"/>
              </w:rPr>
              <w:t>Tax Fees</w:t>
            </w:r>
            <w:r>
              <w:rPr>
                <w:rFonts w:ascii="Arial" w:cs="Arial" w:eastAsia="Arial" w:hAnsi="Arial"/>
                <w:sz w:val="15"/>
                <w:szCs w:val="15"/>
                <w:color w:val="auto"/>
                <w:vertAlign w:val="superscript"/>
              </w:rPr>
              <w:t>(3)</w:t>
            </w:r>
          </w:p>
        </w:tc>
        <w:tc>
          <w:tcPr>
            <w:tcW w:w="400" w:type="dxa"/>
            <w:vAlign w:val="bottom"/>
            <w:shd w:val="clear" w:color="auto" w:fill="D9D9D9"/>
          </w:tcPr>
          <w:p>
            <w:pPr>
              <w:spacing w:after="0"/>
              <w:rPr>
                <w:sz w:val="16"/>
                <w:szCs w:val="16"/>
                <w:color w:val="auto"/>
              </w:rPr>
            </w:pPr>
          </w:p>
        </w:tc>
        <w:tc>
          <w:tcPr>
            <w:tcW w:w="1520" w:type="dxa"/>
            <w:vAlign w:val="bottom"/>
            <w:shd w:val="clear" w:color="auto" w:fill="D9D9D9"/>
          </w:tcPr>
          <w:p>
            <w:pPr>
              <w:jc w:val="right"/>
              <w:ind w:right="160"/>
              <w:spacing w:after="0"/>
              <w:rPr>
                <w:sz w:val="20"/>
                <w:szCs w:val="20"/>
                <w:color w:val="auto"/>
              </w:rPr>
            </w:pPr>
            <w:r>
              <w:rPr>
                <w:rFonts w:ascii="Arial" w:cs="Arial" w:eastAsia="Arial" w:hAnsi="Arial"/>
                <w:sz w:val="12"/>
                <w:szCs w:val="12"/>
                <w:color w:val="auto"/>
              </w:rPr>
              <w:t>229,477</w:t>
            </w:r>
          </w:p>
        </w:tc>
        <w:tc>
          <w:tcPr>
            <w:tcW w:w="1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9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254,975</w:t>
            </w:r>
          </w:p>
        </w:tc>
        <w:tc>
          <w:tcPr>
            <w:tcW w:w="240" w:type="dxa"/>
            <w:vAlign w:val="bottom"/>
            <w:shd w:val="clear" w:color="auto" w:fill="D9D9D9"/>
          </w:tcPr>
          <w:p>
            <w:pPr>
              <w:spacing w:after="0"/>
              <w:rPr>
                <w:sz w:val="16"/>
                <w:szCs w:val="16"/>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2"/>
                <w:szCs w:val="12"/>
                <w:color w:val="auto"/>
              </w:rPr>
              <w:t>All Other Fees</w:t>
            </w:r>
            <w:r>
              <w:rPr>
                <w:rFonts w:ascii="Arial" w:cs="Arial" w:eastAsia="Arial" w:hAnsi="Arial"/>
                <w:sz w:val="15"/>
                <w:szCs w:val="15"/>
                <w:color w:val="auto"/>
                <w:vertAlign w:val="superscript"/>
              </w:rPr>
              <w:t>(4)</w:t>
            </w:r>
          </w:p>
        </w:tc>
        <w:tc>
          <w:tcPr>
            <w:tcW w:w="400" w:type="dxa"/>
            <w:vAlign w:val="bottom"/>
          </w:tcPr>
          <w:p>
            <w:pPr>
              <w:spacing w:after="0"/>
              <w:rPr>
                <w:sz w:val="16"/>
                <w:szCs w:val="16"/>
                <w:color w:val="auto"/>
              </w:rPr>
            </w:pPr>
          </w:p>
        </w:tc>
        <w:tc>
          <w:tcPr>
            <w:tcW w:w="1520" w:type="dxa"/>
            <w:vAlign w:val="bottom"/>
          </w:tcPr>
          <w:p>
            <w:pPr>
              <w:jc w:val="right"/>
              <w:ind w:right="160"/>
              <w:spacing w:after="0"/>
              <w:rPr>
                <w:sz w:val="20"/>
                <w:szCs w:val="20"/>
                <w:color w:val="auto"/>
              </w:rPr>
            </w:pPr>
            <w:r>
              <w:rPr>
                <w:rFonts w:ascii="Arial" w:cs="Arial" w:eastAsia="Arial" w:hAnsi="Arial"/>
                <w:sz w:val="12"/>
                <w:szCs w:val="12"/>
                <w:color w:val="auto"/>
              </w:rPr>
              <w:t>3,790</w:t>
            </w:r>
          </w:p>
        </w:tc>
        <w:tc>
          <w:tcPr>
            <w:tcW w:w="2240" w:type="dxa"/>
            <w:vAlign w:val="bottom"/>
            <w:gridSpan w:val="3"/>
          </w:tcPr>
          <w:p>
            <w:pPr>
              <w:jc w:val="right"/>
              <w:ind w:right="80"/>
              <w:spacing w:after="0"/>
              <w:rPr>
                <w:sz w:val="20"/>
                <w:szCs w:val="20"/>
                <w:color w:val="auto"/>
              </w:rPr>
            </w:pPr>
            <w:r>
              <w:rPr>
                <w:rFonts w:ascii="Arial" w:cs="Arial" w:eastAsia="Arial" w:hAnsi="Arial"/>
                <w:sz w:val="12"/>
                <w:szCs w:val="12"/>
                <w:color w:val="auto"/>
              </w:rPr>
              <w:t>36,895</w:t>
            </w:r>
          </w:p>
        </w:tc>
        <w:tc>
          <w:tcPr>
            <w:tcW w:w="240" w:type="dxa"/>
            <w:vAlign w:val="bottom"/>
          </w:tcPr>
          <w:p>
            <w:pPr>
              <w:spacing w:after="0"/>
              <w:rPr>
                <w:sz w:val="16"/>
                <w:szCs w:val="16"/>
                <w:color w:val="auto"/>
              </w:rPr>
            </w:pPr>
          </w:p>
        </w:tc>
      </w:tr>
      <w:tr>
        <w:trPr>
          <w:trHeight w:val="176"/>
        </w:trPr>
        <w:tc>
          <w:tcPr>
            <w:tcW w:w="4300" w:type="dxa"/>
            <w:vAlign w:val="bottom"/>
            <w:tcBorders>
              <w:top w:val="single" w:sz="8" w:color="D9D9D9"/>
              <w:bottom w:val="single" w:sz="8" w:color="D9D9D9"/>
            </w:tcBorders>
            <w:shd w:val="clear" w:color="auto" w:fill="D9D9D9"/>
          </w:tcPr>
          <w:p>
            <w:pPr>
              <w:ind w:left="180"/>
              <w:spacing w:after="0"/>
              <w:rPr>
                <w:sz w:val="20"/>
                <w:szCs w:val="20"/>
                <w:color w:val="auto"/>
              </w:rPr>
            </w:pPr>
            <w:r>
              <w:rPr>
                <w:rFonts w:ascii="Arial" w:cs="Arial" w:eastAsia="Arial" w:hAnsi="Arial"/>
                <w:sz w:val="12"/>
                <w:szCs w:val="12"/>
                <w:color w:val="auto"/>
              </w:rPr>
              <w:t>Total</w:t>
            </w:r>
          </w:p>
        </w:tc>
        <w:tc>
          <w:tcPr>
            <w:tcW w:w="400" w:type="dxa"/>
            <w:vAlign w:val="bottom"/>
            <w:tcBorders>
              <w:top w:val="single" w:sz="8" w:color="242424"/>
              <w:bottom w:val="single" w:sz="8" w:color="auto"/>
            </w:tcBorders>
            <w:shd w:val="clear" w:color="auto" w:fill="D9D9D9"/>
          </w:tcPr>
          <w:p>
            <w:pPr>
              <w:jc w:val="right"/>
              <w:ind w:right="26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242424"/>
              <w:bottom w:val="single" w:sz="8" w:color="auto"/>
            </w:tcBorders>
            <w:shd w:val="clear" w:color="auto" w:fill="D9D9D9"/>
          </w:tcPr>
          <w:p>
            <w:pPr>
              <w:jc w:val="right"/>
              <w:ind w:right="160"/>
              <w:spacing w:after="0"/>
              <w:rPr>
                <w:sz w:val="20"/>
                <w:szCs w:val="20"/>
                <w:color w:val="auto"/>
              </w:rPr>
            </w:pPr>
            <w:r>
              <w:rPr>
                <w:rFonts w:ascii="Arial" w:cs="Arial" w:eastAsia="Arial" w:hAnsi="Arial"/>
                <w:sz w:val="12"/>
                <w:szCs w:val="12"/>
                <w:color w:val="auto"/>
              </w:rPr>
              <w:t>2,635,780</w:t>
            </w:r>
          </w:p>
        </w:tc>
        <w:tc>
          <w:tcPr>
            <w:tcW w:w="180" w:type="dxa"/>
            <w:vAlign w:val="bottom"/>
            <w:tcBorders>
              <w:top w:val="single" w:sz="8" w:color="D9D9D9"/>
              <w:bottom w:val="single" w:sz="8" w:color="D9D9D9"/>
            </w:tcBorders>
            <w:shd w:val="clear" w:color="auto" w:fill="D9D9D9"/>
          </w:tcPr>
          <w:p>
            <w:pPr>
              <w:spacing w:after="0"/>
              <w:rPr>
                <w:sz w:val="15"/>
                <w:szCs w:val="15"/>
                <w:color w:val="auto"/>
              </w:rPr>
            </w:pPr>
          </w:p>
        </w:tc>
        <w:tc>
          <w:tcPr>
            <w:tcW w:w="140" w:type="dxa"/>
            <w:vAlign w:val="bottom"/>
            <w:tcBorders>
              <w:top w:val="single" w:sz="8" w:color="D9D9D9"/>
              <w:bottom w:val="single" w:sz="8" w:color="D9D9D9"/>
            </w:tcBorders>
            <w:shd w:val="clear" w:color="auto" w:fill="D9D9D9"/>
          </w:tcPr>
          <w:p>
            <w:pPr>
              <w:spacing w:after="0"/>
              <w:rPr>
                <w:sz w:val="15"/>
                <w:szCs w:val="15"/>
                <w:color w:val="auto"/>
              </w:rPr>
            </w:pPr>
          </w:p>
        </w:tc>
        <w:tc>
          <w:tcPr>
            <w:tcW w:w="1920" w:type="dxa"/>
            <w:vAlign w:val="bottom"/>
            <w:tcBorders>
              <w:top w:val="single" w:sz="8" w:color="242424"/>
              <w:bottom w:val="single" w:sz="8" w:color="auto"/>
            </w:tcBorders>
            <w:shd w:val="clear" w:color="auto" w:fill="DBDBDB"/>
          </w:tcPr>
          <w:p>
            <w:pPr>
              <w:jc w:val="right"/>
              <w:ind w:right="960"/>
              <w:spacing w:after="0"/>
              <w:rPr>
                <w:sz w:val="20"/>
                <w:szCs w:val="20"/>
                <w:color w:val="auto"/>
              </w:rPr>
            </w:pPr>
            <w:r>
              <w:rPr>
                <w:rFonts w:ascii="Arial" w:cs="Arial" w:eastAsia="Arial" w:hAnsi="Arial"/>
                <w:sz w:val="12"/>
                <w:szCs w:val="12"/>
                <w:color w:val="auto"/>
              </w:rPr>
              <w:t>$2,538,032</w:t>
            </w:r>
          </w:p>
        </w:tc>
        <w:tc>
          <w:tcPr>
            <w:tcW w:w="240" w:type="dxa"/>
            <w:vAlign w:val="bottom"/>
            <w:tcBorders>
              <w:top w:val="single" w:sz="8" w:color="D9D9D9"/>
              <w:bottom w:val="single" w:sz="8" w:color="D9D9D9"/>
            </w:tcBorders>
            <w:shd w:val="clear" w:color="auto" w:fill="D9D9D9"/>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-502285</wp:posOffset>
            </wp:positionV>
            <wp:extent cx="2788920" cy="1257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88920" cy="125730"/>
                    </a:xfrm>
                    <a:prstGeom prst="rect">
                      <a:avLst/>
                    </a:prstGeom>
                    <a:noFill/>
                  </pic:spPr>
                </pic:pic>
              </a:graphicData>
            </a:graphic>
          </wp:anchor>
        </w:drawing>
      </w:r>
    </w:p>
    <w:p>
      <w:pPr>
        <w:spacing w:after="0" w:line="35" w:lineRule="exact"/>
        <w:rPr>
          <w:sz w:val="20"/>
          <w:szCs w:val="20"/>
          <w:color w:val="auto"/>
        </w:rPr>
      </w:pPr>
    </w:p>
    <w:p>
      <w:pPr>
        <w:ind w:left="640"/>
        <w:spacing w:after="0"/>
        <w:rPr>
          <w:sz w:val="20"/>
          <w:szCs w:val="20"/>
          <w:color w:val="auto"/>
        </w:rPr>
      </w:pPr>
      <w:r>
        <w:rPr>
          <w:rFonts w:ascii="Arial" w:cs="Arial" w:eastAsia="Arial" w:hAnsi="Arial"/>
          <w:sz w:val="7"/>
          <w:szCs w:val="7"/>
          <w:color w:val="auto"/>
        </w:rPr>
        <w:t>___________________________</w:t>
      </w:r>
    </w:p>
    <w:p>
      <w:pPr>
        <w:spacing w:after="0" w:line="77" w:lineRule="exact"/>
        <w:rPr>
          <w:sz w:val="20"/>
          <w:szCs w:val="20"/>
          <w:color w:val="auto"/>
        </w:rPr>
      </w:pPr>
    </w:p>
    <w:p>
      <w:pPr>
        <w:ind w:left="960" w:hanging="320"/>
        <w:spacing w:after="0" w:line="286" w:lineRule="auto"/>
        <w:tabs>
          <w:tab w:leader="none" w:pos="954" w:val="left"/>
        </w:tabs>
        <w:numPr>
          <w:ilvl w:val="0"/>
          <w:numId w:val="79"/>
        </w:numPr>
        <w:rPr>
          <w:rFonts w:ascii="Arial" w:cs="Arial" w:eastAsia="Arial" w:hAnsi="Arial"/>
          <w:sz w:val="12"/>
          <w:szCs w:val="12"/>
          <w:color w:val="auto"/>
        </w:rPr>
      </w:pPr>
      <w:r>
        <w:rPr>
          <w:rFonts w:ascii="Arial" w:cs="Arial" w:eastAsia="Arial" w:hAnsi="Arial"/>
          <w:sz w:val="12"/>
          <w:szCs w:val="12"/>
          <w:color w:val="auto"/>
        </w:rPr>
        <w:t>Audit fees consisted primarily of audit work related to preparation of our annual financial statements, audit of internal controls over financial reporting, review of the quarterly financial statements included in our quarterly reports on Form 10-Q, audit work related to acquisitions, and review of other SEC filings.</w:t>
      </w:r>
    </w:p>
    <w:p>
      <w:pPr>
        <w:spacing w:after="0" w:line="31" w:lineRule="exact"/>
        <w:rPr>
          <w:rFonts w:ascii="Arial" w:cs="Arial" w:eastAsia="Arial" w:hAnsi="Arial"/>
          <w:sz w:val="12"/>
          <w:szCs w:val="12"/>
          <w:color w:val="auto"/>
        </w:rPr>
      </w:pPr>
    </w:p>
    <w:p>
      <w:pPr>
        <w:ind w:left="960" w:hanging="320"/>
        <w:spacing w:after="0"/>
        <w:tabs>
          <w:tab w:leader="none" w:pos="9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Audit-related fees consisted acquisition-related consulting and diligence activities.</w:t>
      </w:r>
    </w:p>
    <w:p>
      <w:pPr>
        <w:spacing w:after="0" w:line="78" w:lineRule="exact"/>
        <w:rPr>
          <w:rFonts w:ascii="Arial" w:cs="Arial" w:eastAsia="Arial" w:hAnsi="Arial"/>
          <w:sz w:val="12"/>
          <w:szCs w:val="12"/>
          <w:color w:val="auto"/>
        </w:rPr>
      </w:pPr>
    </w:p>
    <w:p>
      <w:pPr>
        <w:ind w:left="960" w:hanging="320"/>
        <w:spacing w:after="0"/>
        <w:tabs>
          <w:tab w:leader="none" w:pos="9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Tax fees consisted primarily of fees for tax compliance and return preparation and tax planning and advice.</w:t>
      </w:r>
    </w:p>
    <w:p>
      <w:pPr>
        <w:spacing w:after="0" w:line="78" w:lineRule="exact"/>
        <w:rPr>
          <w:rFonts w:ascii="Arial" w:cs="Arial" w:eastAsia="Arial" w:hAnsi="Arial"/>
          <w:sz w:val="12"/>
          <w:szCs w:val="12"/>
          <w:color w:val="auto"/>
        </w:rPr>
      </w:pPr>
    </w:p>
    <w:p>
      <w:pPr>
        <w:ind w:left="960" w:hanging="320"/>
        <w:spacing w:after="0"/>
        <w:tabs>
          <w:tab w:leader="none" w:pos="9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All other fees consisted of Deloitte online accounting research tool and educational-related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Policy on Audit Committee Pre-Approval of Audit and Permissible Non-Audit Services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Consistent with policies of the SEC regarding auditor independence, our Audit Committee has responsibility for appointing, setting compensation and overseeing the work of our independent registered public accounting firm. In recognition of this responsibility, our Audit Committee established a policy to require pre-approval of all audit and permissible non-audit services provided by our independent registered public accounting firm. As permitted by regulations of the SEC, our Audit Committee delegated the authority to pre-approve services provided by our independent registered public accounting firm to the Chair of our Audit Committee, who reports any pre-approval decisions to our Audit Committee at its next regularly scheduled meeting.</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All of the services provided by our independent registered public accounting firm in fiscal 2026 and 2025, including services related to the audit-related fees, tax fees and all other fees described above, were approved by our Audit Committee under its pre-approval policy.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Frequently Asked Questions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Who is entitled to vote at the meeting?</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Our Board of Directors has set April 27, 2026, as the record date for the Annual Meeting. If you were a shareholder at the close of business on the record date, you are entitled to notice of and to vote at the Annual Meeting.</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As of the record date, 21,351,005 shares of common stock, par value $0.33-1/3, were issued and outstanding and, therefore, eligible to vote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What are my voting rights?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Holders of our common stock are entitled to one vote per share. Therefore, 21,351,005 votes are entitled to be cast at the Annual Meeting. There is no cumulative voting for the election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many shares must be present to hold the meeting?</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In accordance with our Amended and Restated By-laws, shares equal to at least a majority of the voting power of the outstanding shares of our common stock as of the record date must be present at the Annual Meeting in order to hold the Annual Meeting and conduct business. This is called a quorum. Your shares are counted as present at the Annual Meeting if:</w:t>
      </w:r>
    </w:p>
    <w:p>
      <w:pPr>
        <w:spacing w:after="0" w:line="103" w:lineRule="exact"/>
        <w:rPr>
          <w:sz w:val="20"/>
          <w:szCs w:val="20"/>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you are present and vote in person at the Annual Meeting, with virtual participation constituting in person presence at the meeting;</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you have properly submitted a proxy via the Internet, by telephone, or by mail, even if you abstain from voting on one or more matters; or</w:t>
      </w:r>
    </w:p>
    <w:p>
      <w:pPr>
        <w:spacing w:after="0" w:line="78"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you hold your shares in street name (as discussed under “What is the difference between a shareholder of record and a “street name” holder?” beginning on page </w:t>
      </w:r>
      <w:r>
        <w:rPr>
          <w:rFonts w:ascii="Arial" w:cs="Arial" w:eastAsia="Arial" w:hAnsi="Arial"/>
          <w:sz w:val="12"/>
          <w:szCs w:val="12"/>
          <w:u w:val="single" w:color="auto"/>
          <w:color w:val="0000FF"/>
        </w:rPr>
        <w:t>91</w:t>
      </w:r>
      <w:r>
        <w:rPr>
          <w:rFonts w:ascii="Arial" w:cs="Arial" w:eastAsia="Arial" w:hAnsi="Arial"/>
          <w:sz w:val="12"/>
          <w:szCs w:val="12"/>
          <w:color w:val="auto"/>
        </w:rPr>
        <w:t>) and you did not provide voting instructions to your broker and your broker uses its discretionary authority to vote your shares on the ratification of the appointment of our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can I attend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order to expand access to the Annual Meeting, we are holding the Annual Meeting in a virtual-only meeting format. You will not be able to attend the Annual Meeting at a physical location.</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If you are a registered shareholder or beneficial owner of common stock holding shares at the close of business on the record date April 27, 2026, you may attend the Annual Meeting by visiting the meeting website at www.virtualshareholdermeeting.com/APOG2026 and logging in by entering the 16-digit control number found on your proxy card, voter instruction form, or Notice, as applicable. You may also attend the meeting by visiting www.virtualshareholdermeeting.com/APOG2026 and registering as a guest. If you enter the meeting as a guest, you will not be able to vote your shares or submit questions during the meeting.</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You may log into the meeting website at www.virtualshareholdermeeting.com/APOG2026 beginning at 8:00 a.m. Central Time on June 24, 2026. The Annual Meeting will begin promptly at 8:00 a.m. Central Time on June 24, 2026. If you experience any technical difficulties during the meeting, a toll-free number will be available on our meeting website for assistance.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92" w:name="page93"/>
    <w:bookmarkEnd w:id="92"/>
    <w:p>
      <w:pPr>
        <w:ind w:left="8"/>
        <w:spacing w:after="0"/>
        <w:rPr>
          <w:sz w:val="20"/>
          <w:szCs w:val="20"/>
          <w:color w:val="auto"/>
        </w:rPr>
      </w:pPr>
      <w:r>
        <w:rPr>
          <w:rFonts w:ascii="Arial" w:cs="Arial" w:eastAsia="Arial" w:hAnsi="Arial"/>
          <w:sz w:val="12"/>
          <w:szCs w:val="12"/>
          <w:b w:val="1"/>
          <w:bCs w:val="1"/>
          <w:color w:val="05445E"/>
        </w:rPr>
        <w:t>What am I voting on, what vote is required to approve each proposal and how does the Board recommend I vote?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summarizes the proposals that will be voted on, the vote required to approve each item, how votes are counted and how the Board recommends you vote.</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445E"/>
                <w:w w:val="95"/>
              </w:rPr>
              <w:t>Impact</w:t>
            </w:r>
          </w:p>
        </w:tc>
      </w:tr>
      <w:tr>
        <w:trPr>
          <w:trHeight w:val="126"/>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5"/>
              </w:rPr>
              <w:t>Broker</w:t>
            </w: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445E"/>
                <w:w w:val="95"/>
              </w:rPr>
              <w:t>of</w:t>
            </w:r>
          </w:p>
        </w:tc>
      </w:tr>
      <w:tr>
        <w:trPr>
          <w:trHeight w:val="135"/>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9"/>
              </w:rPr>
              <w:t>Discretionary</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445E"/>
                <w:w w:val="95"/>
              </w:rPr>
              <w:t>Broker</w:t>
            </w:r>
          </w:p>
        </w:tc>
      </w:tr>
      <w:tr>
        <w:trPr>
          <w:trHeight w:val="126"/>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380"/>
              <w:spacing w:after="0"/>
              <w:rPr>
                <w:sz w:val="20"/>
                <w:szCs w:val="20"/>
                <w:color w:val="auto"/>
              </w:rPr>
            </w:pPr>
            <w:r>
              <w:rPr>
                <w:rFonts w:ascii="Arial" w:cs="Arial" w:eastAsia="Arial" w:hAnsi="Arial"/>
                <w:sz w:val="11"/>
                <w:szCs w:val="11"/>
                <w:b w:val="1"/>
                <w:bCs w:val="1"/>
                <w:color w:val="05445E"/>
              </w:rPr>
              <w:t>Voting</w:t>
            </w:r>
          </w:p>
        </w:tc>
        <w:tc>
          <w:tcPr>
            <w:tcW w:w="1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rPr>
              <w:t>Board</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9"/>
              </w:rPr>
              <w:t>Voting</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8"/>
              </w:rPr>
              <w:t>Impact of</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445E"/>
                <w:w w:val="95"/>
              </w:rPr>
              <w:t>Non-</w:t>
            </w:r>
          </w:p>
        </w:tc>
      </w:tr>
      <w:tr>
        <w:trPr>
          <w:trHeight w:val="162"/>
        </w:trPr>
        <w:tc>
          <w:tcPr>
            <w:tcW w:w="2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05445E"/>
              </w:rPr>
              <w:t>Proposal</w:t>
            </w:r>
          </w:p>
        </w:tc>
        <w:tc>
          <w:tcPr>
            <w:tcW w:w="80" w:type="dxa"/>
            <w:vAlign w:val="bottom"/>
            <w:tcBorders>
              <w:bottom w:val="single" w:sz="8" w:color="D9D9D9"/>
            </w:tcBorders>
          </w:tcPr>
          <w:p>
            <w:pPr>
              <w:spacing w:after="0"/>
              <w:rPr>
                <w:sz w:val="14"/>
                <w:szCs w:val="14"/>
                <w:color w:val="auto"/>
              </w:rPr>
            </w:pPr>
          </w:p>
        </w:tc>
        <w:tc>
          <w:tcPr>
            <w:tcW w:w="2180" w:type="dxa"/>
            <w:vAlign w:val="bottom"/>
            <w:tcBorders>
              <w:bottom w:val="single" w:sz="8" w:color="auto"/>
            </w:tcBorders>
          </w:tcPr>
          <w:p>
            <w:pPr>
              <w:ind w:left="720"/>
              <w:spacing w:after="0"/>
              <w:rPr>
                <w:sz w:val="20"/>
                <w:szCs w:val="20"/>
                <w:color w:val="auto"/>
              </w:rPr>
            </w:pPr>
            <w:r>
              <w:rPr>
                <w:rFonts w:ascii="Arial" w:cs="Arial" w:eastAsia="Arial" w:hAnsi="Arial"/>
                <w:sz w:val="11"/>
                <w:szCs w:val="11"/>
                <w:b w:val="1"/>
                <w:bCs w:val="1"/>
                <w:color w:val="05445E"/>
              </w:rPr>
              <w:t>Vote Required</w:t>
            </w:r>
          </w:p>
        </w:tc>
        <w:tc>
          <w:tcPr>
            <w:tcW w:w="80" w:type="dxa"/>
            <w:vAlign w:val="bottom"/>
            <w:tcBorders>
              <w:bottom w:val="single" w:sz="8" w:color="D9D9D9"/>
            </w:tcBorders>
          </w:tcPr>
          <w:p>
            <w:pPr>
              <w:spacing w:after="0"/>
              <w:rPr>
                <w:sz w:val="14"/>
                <w:szCs w:val="14"/>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05445E"/>
              </w:rPr>
              <w:t>Options</w:t>
            </w:r>
          </w:p>
        </w:tc>
        <w:tc>
          <w:tcPr>
            <w:tcW w:w="80" w:type="dxa"/>
            <w:vAlign w:val="bottom"/>
            <w:tcBorders>
              <w:bottom w:val="single" w:sz="8" w:color="D9D9D9"/>
            </w:tcBorders>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97"/>
              </w:rPr>
              <w:t>Recommendation</w:t>
            </w:r>
          </w:p>
        </w:tc>
        <w:tc>
          <w:tcPr>
            <w:tcW w:w="80" w:type="dxa"/>
            <w:vAlign w:val="bottom"/>
            <w:tcBorders>
              <w:bottom w:val="single" w:sz="8" w:color="D9D9D9"/>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93"/>
              </w:rPr>
              <w:t>Allowed</w:t>
            </w:r>
            <w:r>
              <w:rPr>
                <w:rFonts w:ascii="Arial" w:cs="Arial" w:eastAsia="Arial" w:hAnsi="Arial"/>
                <w:sz w:val="14"/>
                <w:szCs w:val="14"/>
                <w:b w:val="1"/>
                <w:bCs w:val="1"/>
                <w:color w:val="05445E"/>
                <w:w w:val="93"/>
                <w:vertAlign w:val="superscript"/>
              </w:rPr>
              <w:t>(1)</w:t>
            </w:r>
          </w:p>
        </w:tc>
        <w:tc>
          <w:tcPr>
            <w:tcW w:w="60" w:type="dxa"/>
            <w:vAlign w:val="bottom"/>
            <w:tcBorders>
              <w:bottom w:val="single" w:sz="8" w:color="D9D9D9"/>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rPr>
              <w:t>Abstention</w:t>
            </w:r>
          </w:p>
        </w:tc>
        <w:tc>
          <w:tcPr>
            <w:tcW w:w="60" w:type="dxa"/>
            <w:vAlign w:val="bottom"/>
            <w:tcBorders>
              <w:bottom w:val="single" w:sz="8" w:color="D9D9D9"/>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rPr>
              <w:t>Vote</w:t>
            </w:r>
          </w:p>
        </w:tc>
      </w:tr>
      <w:tr>
        <w:trPr>
          <w:trHeight w:val="124"/>
        </w:trPr>
        <w:tc>
          <w:tcPr>
            <w:tcW w:w="2260" w:type="dxa"/>
            <w:vAlign w:val="bottom"/>
            <w:gridSpan w:val="2"/>
            <w:shd w:val="clear" w:color="auto" w:fill="D9D9D9"/>
          </w:tcPr>
          <w:p>
            <w:pPr>
              <w:spacing w:after="0" w:line="124" w:lineRule="exact"/>
              <w:rPr>
                <w:sz w:val="20"/>
                <w:szCs w:val="20"/>
                <w:color w:val="auto"/>
              </w:rPr>
            </w:pPr>
            <w:r>
              <w:rPr>
                <w:rFonts w:ascii="Arial" w:cs="Arial" w:eastAsia="Arial" w:hAnsi="Arial"/>
                <w:sz w:val="11"/>
                <w:szCs w:val="11"/>
                <w:b w:val="1"/>
                <w:bCs w:val="1"/>
                <w:color w:val="auto"/>
              </w:rPr>
              <w:t xml:space="preserve">Proposal 1 – </w:t>
            </w:r>
            <w:r>
              <w:rPr>
                <w:rFonts w:ascii="Arial" w:cs="Arial" w:eastAsia="Arial" w:hAnsi="Arial"/>
                <w:sz w:val="11"/>
                <w:szCs w:val="11"/>
                <w:color w:val="auto"/>
              </w:rPr>
              <w:t>Election of two Class I</w:t>
            </w:r>
          </w:p>
        </w:tc>
        <w:tc>
          <w:tcPr>
            <w:tcW w:w="2260" w:type="dxa"/>
            <w:vAlign w:val="bottom"/>
            <w:gridSpan w:val="2"/>
            <w:shd w:val="clear" w:color="auto" w:fill="D9D9D9"/>
          </w:tcPr>
          <w:p>
            <w:pPr>
              <w:spacing w:after="0" w:line="124" w:lineRule="exact"/>
              <w:rPr>
                <w:sz w:val="20"/>
                <w:szCs w:val="20"/>
                <w:color w:val="auto"/>
              </w:rPr>
            </w:pPr>
            <w:r>
              <w:rPr>
                <w:rFonts w:ascii="Arial" w:cs="Arial" w:eastAsia="Arial" w:hAnsi="Arial"/>
                <w:sz w:val="11"/>
                <w:szCs w:val="11"/>
                <w:color w:val="auto"/>
              </w:rPr>
              <w:t>Majority of votes cast (votes cast “For” must</w:t>
            </w:r>
          </w:p>
        </w:tc>
        <w:tc>
          <w:tcPr>
            <w:tcW w:w="1180" w:type="dxa"/>
            <w:vAlign w:val="bottom"/>
            <w:gridSpan w:val="2"/>
            <w:shd w:val="clear" w:color="auto" w:fill="D9D9D9"/>
          </w:tcPr>
          <w:p>
            <w:pPr>
              <w:ind w:left="20"/>
              <w:spacing w:after="0" w:line="124" w:lineRule="exact"/>
              <w:rPr>
                <w:sz w:val="20"/>
                <w:szCs w:val="20"/>
                <w:color w:val="auto"/>
              </w:rPr>
            </w:pPr>
            <w:r>
              <w:rPr>
                <w:rFonts w:ascii="Arial" w:cs="Arial" w:eastAsia="Arial" w:hAnsi="Arial"/>
                <w:sz w:val="11"/>
                <w:szCs w:val="11"/>
                <w:color w:val="auto"/>
              </w:rPr>
              <w:t>FOR, AGAINST,</w:t>
            </w:r>
          </w:p>
        </w:tc>
        <w:tc>
          <w:tcPr>
            <w:tcW w:w="1940" w:type="dxa"/>
            <w:vAlign w:val="bottom"/>
            <w:gridSpan w:val="2"/>
            <w:shd w:val="clear" w:color="auto" w:fill="D9D9D9"/>
          </w:tcPr>
          <w:p>
            <w:pPr>
              <w:jc w:val="center"/>
              <w:ind w:right="80"/>
              <w:spacing w:after="0" w:line="124" w:lineRule="exact"/>
              <w:rPr>
                <w:sz w:val="20"/>
                <w:szCs w:val="20"/>
                <w:color w:val="auto"/>
              </w:rPr>
            </w:pPr>
            <w:r>
              <w:rPr>
                <w:rFonts w:ascii="Arial" w:cs="Arial" w:eastAsia="Arial" w:hAnsi="Arial"/>
                <w:sz w:val="11"/>
                <w:szCs w:val="11"/>
                <w:color w:val="auto"/>
                <w:w w:val="94"/>
              </w:rPr>
              <w:t>FOR</w:t>
            </w:r>
          </w:p>
        </w:tc>
        <w:tc>
          <w:tcPr>
            <w:tcW w:w="1500" w:type="dxa"/>
            <w:vAlign w:val="bottom"/>
            <w:gridSpan w:val="2"/>
            <w:shd w:val="clear" w:color="auto" w:fill="D9D9D9"/>
          </w:tcPr>
          <w:p>
            <w:pPr>
              <w:jc w:val="center"/>
              <w:ind w:right="80"/>
              <w:spacing w:after="0" w:line="124" w:lineRule="exact"/>
              <w:rPr>
                <w:sz w:val="20"/>
                <w:szCs w:val="20"/>
                <w:color w:val="auto"/>
              </w:rPr>
            </w:pPr>
            <w:r>
              <w:rPr>
                <w:rFonts w:ascii="Arial" w:cs="Arial" w:eastAsia="Arial" w:hAnsi="Arial"/>
                <w:sz w:val="11"/>
                <w:szCs w:val="11"/>
                <w:color w:val="auto"/>
                <w:w w:val="99"/>
              </w:rPr>
              <w:t>No</w:t>
            </w:r>
          </w:p>
        </w:tc>
        <w:tc>
          <w:tcPr>
            <w:tcW w:w="1280" w:type="dxa"/>
            <w:vAlign w:val="bottom"/>
            <w:gridSpan w:val="2"/>
            <w:shd w:val="clear" w:color="auto" w:fill="D9D9D9"/>
          </w:tcPr>
          <w:p>
            <w:pPr>
              <w:jc w:val="center"/>
              <w:ind w:right="60"/>
              <w:spacing w:after="0" w:line="124" w:lineRule="exact"/>
              <w:rPr>
                <w:sz w:val="20"/>
                <w:szCs w:val="20"/>
                <w:color w:val="auto"/>
              </w:rPr>
            </w:pPr>
            <w:r>
              <w:rPr>
                <w:rFonts w:ascii="Arial" w:cs="Arial" w:eastAsia="Arial" w:hAnsi="Arial"/>
                <w:sz w:val="11"/>
                <w:szCs w:val="11"/>
                <w:color w:val="auto"/>
                <w:w w:val="98"/>
              </w:rPr>
              <w:t>None</w:t>
            </w:r>
          </w:p>
        </w:tc>
        <w:tc>
          <w:tcPr>
            <w:tcW w:w="880" w:type="dxa"/>
            <w:vAlign w:val="bottom"/>
            <w:shd w:val="clear" w:color="auto" w:fill="D9D9D9"/>
          </w:tcPr>
          <w:p>
            <w:pPr>
              <w:jc w:val="center"/>
              <w:spacing w:after="0" w:line="124" w:lineRule="exact"/>
              <w:rPr>
                <w:sz w:val="20"/>
                <w:szCs w:val="20"/>
                <w:color w:val="auto"/>
              </w:rPr>
            </w:pPr>
            <w:r>
              <w:rPr>
                <w:rFonts w:ascii="Arial" w:cs="Arial" w:eastAsia="Arial" w:hAnsi="Arial"/>
                <w:sz w:val="11"/>
                <w:szCs w:val="11"/>
                <w:color w:val="auto"/>
                <w:w w:val="91"/>
              </w:rPr>
              <w:t>None</w:t>
            </w:r>
          </w:p>
        </w:tc>
      </w:tr>
      <w:tr>
        <w:trPr>
          <w:trHeight w:val="135"/>
        </w:trPr>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directors for terms expiring at our 2029</w:t>
            </w:r>
          </w:p>
        </w:tc>
        <w:tc>
          <w:tcPr>
            <w:tcW w:w="2260" w:type="dxa"/>
            <w:vAlign w:val="bottom"/>
            <w:gridSpan w:val="2"/>
            <w:shd w:val="clear" w:color="auto" w:fill="D9D9D9"/>
          </w:tcPr>
          <w:p>
            <w:pPr>
              <w:spacing w:after="0" w:line="135" w:lineRule="exact"/>
              <w:rPr>
                <w:sz w:val="20"/>
                <w:szCs w:val="20"/>
                <w:color w:val="auto"/>
              </w:rPr>
            </w:pPr>
            <w:r>
              <w:rPr>
                <w:rFonts w:ascii="Arial" w:cs="Arial" w:eastAsia="Arial" w:hAnsi="Arial"/>
                <w:sz w:val="11"/>
                <w:szCs w:val="11"/>
                <w:color w:val="auto"/>
              </w:rPr>
              <w:t>exceed votes cast “Against”)</w:t>
            </w:r>
            <w:r>
              <w:rPr>
                <w:rFonts w:ascii="Arial" w:cs="Arial" w:eastAsia="Arial" w:hAnsi="Arial"/>
                <w:sz w:val="14"/>
                <w:szCs w:val="14"/>
                <w:color w:val="auto"/>
                <w:vertAlign w:val="superscript"/>
              </w:rPr>
              <w:t>(2)</w:t>
            </w:r>
          </w:p>
        </w:tc>
        <w:tc>
          <w:tcPr>
            <w:tcW w:w="118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ABSTAIN</w:t>
            </w:r>
          </w:p>
        </w:tc>
        <w:tc>
          <w:tcPr>
            <w:tcW w:w="186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44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122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r>
      <w:tr>
        <w:trPr>
          <w:trHeight w:val="153"/>
        </w:trPr>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Annual Meeting of Shareholders</w:t>
            </w:r>
          </w:p>
        </w:tc>
        <w:tc>
          <w:tcPr>
            <w:tcW w:w="21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8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4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r>
      <w:tr>
        <w:trPr>
          <w:trHeight w:val="135"/>
        </w:trPr>
        <w:tc>
          <w:tcPr>
            <w:tcW w:w="226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Proposal 2 – </w:t>
            </w:r>
            <w:r>
              <w:rPr>
                <w:rFonts w:ascii="Arial" w:cs="Arial" w:eastAsia="Arial" w:hAnsi="Arial"/>
                <w:sz w:val="11"/>
                <w:szCs w:val="11"/>
                <w:color w:val="auto"/>
              </w:rPr>
              <w:t>“Say on Pay” Advisory vote to</w:t>
            </w:r>
          </w:p>
        </w:tc>
        <w:tc>
          <w:tcPr>
            <w:tcW w:w="2260" w:type="dxa"/>
            <w:vAlign w:val="bottom"/>
            <w:gridSpan w:val="2"/>
          </w:tcPr>
          <w:p>
            <w:pPr>
              <w:spacing w:after="0"/>
              <w:rPr>
                <w:sz w:val="20"/>
                <w:szCs w:val="20"/>
                <w:color w:val="auto"/>
              </w:rPr>
            </w:pPr>
            <w:r>
              <w:rPr>
                <w:rFonts w:ascii="Arial" w:cs="Arial" w:eastAsia="Arial" w:hAnsi="Arial"/>
                <w:sz w:val="11"/>
                <w:szCs w:val="11"/>
                <w:color w:val="auto"/>
              </w:rPr>
              <w:t>Majority of votes present in person (i.e.,</w:t>
            </w:r>
          </w:p>
        </w:tc>
        <w:tc>
          <w:tcPr>
            <w:tcW w:w="1180" w:type="dxa"/>
            <w:vAlign w:val="bottom"/>
            <w:gridSpan w:val="2"/>
          </w:tcPr>
          <w:p>
            <w:pPr>
              <w:ind w:left="20"/>
              <w:spacing w:after="0"/>
              <w:rPr>
                <w:sz w:val="20"/>
                <w:szCs w:val="20"/>
                <w:color w:val="auto"/>
              </w:rPr>
            </w:pPr>
            <w:r>
              <w:rPr>
                <w:rFonts w:ascii="Arial" w:cs="Arial" w:eastAsia="Arial" w:hAnsi="Arial"/>
                <w:sz w:val="11"/>
                <w:szCs w:val="11"/>
                <w:color w:val="auto"/>
              </w:rPr>
              <w:t>FOR, AGAINST,</w:t>
            </w:r>
          </w:p>
        </w:tc>
        <w:tc>
          <w:tcPr>
            <w:tcW w:w="194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FOR</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9"/>
              </w:rPr>
              <w:t>No</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Against</w:t>
            </w:r>
          </w:p>
        </w:tc>
        <w:tc>
          <w:tcPr>
            <w:tcW w:w="880" w:type="dxa"/>
            <w:vAlign w:val="bottom"/>
          </w:tcPr>
          <w:p>
            <w:pPr>
              <w:jc w:val="center"/>
              <w:spacing w:after="0"/>
              <w:rPr>
                <w:sz w:val="20"/>
                <w:szCs w:val="20"/>
                <w:color w:val="auto"/>
              </w:rPr>
            </w:pPr>
            <w:r>
              <w:rPr>
                <w:rFonts w:ascii="Arial" w:cs="Arial" w:eastAsia="Arial" w:hAnsi="Arial"/>
                <w:sz w:val="11"/>
                <w:szCs w:val="11"/>
                <w:color w:val="auto"/>
                <w:w w:val="91"/>
              </w:rPr>
              <w:t>None</w:t>
            </w:r>
          </w:p>
        </w:tc>
      </w:tr>
      <w:tr>
        <w:trPr>
          <w:trHeight w:val="135"/>
        </w:trPr>
        <w:tc>
          <w:tcPr>
            <w:tcW w:w="2260" w:type="dxa"/>
            <w:vAlign w:val="bottom"/>
            <w:gridSpan w:val="2"/>
          </w:tcPr>
          <w:p>
            <w:pPr>
              <w:spacing w:after="0"/>
              <w:rPr>
                <w:sz w:val="20"/>
                <w:szCs w:val="20"/>
                <w:color w:val="auto"/>
              </w:rPr>
            </w:pPr>
            <w:r>
              <w:rPr>
                <w:rFonts w:ascii="Arial" w:cs="Arial" w:eastAsia="Arial" w:hAnsi="Arial"/>
                <w:sz w:val="11"/>
                <w:szCs w:val="11"/>
                <w:color w:val="auto"/>
              </w:rPr>
              <w:t>approve Apogee’s executive compensation</w:t>
            </w:r>
          </w:p>
        </w:tc>
        <w:tc>
          <w:tcPr>
            <w:tcW w:w="2260" w:type="dxa"/>
            <w:vAlign w:val="bottom"/>
            <w:gridSpan w:val="2"/>
          </w:tcPr>
          <w:p>
            <w:pPr>
              <w:spacing w:after="0"/>
              <w:rPr>
                <w:sz w:val="20"/>
                <w:szCs w:val="20"/>
                <w:color w:val="auto"/>
              </w:rPr>
            </w:pPr>
            <w:r>
              <w:rPr>
                <w:rFonts w:ascii="Arial" w:cs="Arial" w:eastAsia="Arial" w:hAnsi="Arial"/>
                <w:sz w:val="11"/>
                <w:szCs w:val="11"/>
                <w:color w:val="auto"/>
              </w:rPr>
              <w:t>online) or by proxy and entitled to vote on</w:t>
            </w:r>
          </w:p>
        </w:tc>
        <w:tc>
          <w:tcPr>
            <w:tcW w:w="1180" w:type="dxa"/>
            <w:vAlign w:val="bottom"/>
            <w:gridSpan w:val="2"/>
          </w:tcPr>
          <w:p>
            <w:pPr>
              <w:ind w:left="20"/>
              <w:spacing w:after="0"/>
              <w:rPr>
                <w:sz w:val="20"/>
                <w:szCs w:val="20"/>
                <w:color w:val="auto"/>
              </w:rPr>
            </w:pPr>
            <w:r>
              <w:rPr>
                <w:rFonts w:ascii="Arial" w:cs="Arial" w:eastAsia="Arial" w:hAnsi="Arial"/>
                <w:sz w:val="11"/>
                <w:szCs w:val="11"/>
                <w:color w:val="auto"/>
              </w:rPr>
              <w:t>ABSTAIN</w:t>
            </w: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2"/>
          </w:tcPr>
          <w:p>
            <w:pPr>
              <w:spacing w:after="0" w:line="153" w:lineRule="exact"/>
              <w:rPr>
                <w:sz w:val="20"/>
                <w:szCs w:val="20"/>
                <w:color w:val="auto"/>
              </w:rPr>
            </w:pPr>
            <w:r>
              <w:rPr>
                <w:rFonts w:ascii="Arial" w:cs="Arial" w:eastAsia="Arial" w:hAnsi="Arial"/>
                <w:sz w:val="11"/>
                <w:szCs w:val="11"/>
                <w:color w:val="auto"/>
              </w:rPr>
              <w:t>this item</w:t>
            </w:r>
            <w:r>
              <w:rPr>
                <w:rFonts w:ascii="Arial" w:cs="Arial" w:eastAsia="Arial" w:hAnsi="Arial"/>
                <w:sz w:val="14"/>
                <w:szCs w:val="14"/>
                <w:color w:val="auto"/>
                <w:vertAlign w:val="superscript"/>
              </w:rPr>
              <w:t>(3)</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b w:val="1"/>
                <w:bCs w:val="1"/>
                <w:color w:val="auto"/>
              </w:rPr>
              <w:t xml:space="preserve">Proposal 3 - </w:t>
            </w:r>
            <w:r>
              <w:rPr>
                <w:rFonts w:ascii="Arial" w:cs="Arial" w:eastAsia="Arial" w:hAnsi="Arial"/>
                <w:sz w:val="11"/>
                <w:szCs w:val="11"/>
                <w:color w:val="auto"/>
              </w:rPr>
              <w:t>Approval of the Apogee</w:t>
            </w:r>
          </w:p>
        </w:tc>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Majority of votes present in person (i.e.,</w:t>
            </w:r>
          </w:p>
        </w:tc>
        <w:tc>
          <w:tcPr>
            <w:tcW w:w="118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FOR, AGAINST,</w:t>
            </w:r>
          </w:p>
        </w:tc>
        <w:tc>
          <w:tcPr>
            <w:tcW w:w="1940" w:type="dxa"/>
            <w:vAlign w:val="bottom"/>
            <w:gridSpan w:val="2"/>
            <w:shd w:val="clear" w:color="auto" w:fill="D9D9D9"/>
          </w:tcPr>
          <w:p>
            <w:pPr>
              <w:jc w:val="center"/>
              <w:ind w:right="80"/>
              <w:spacing w:after="0"/>
              <w:rPr>
                <w:sz w:val="20"/>
                <w:szCs w:val="20"/>
                <w:color w:val="auto"/>
              </w:rPr>
            </w:pPr>
            <w:r>
              <w:rPr>
                <w:rFonts w:ascii="Arial" w:cs="Arial" w:eastAsia="Arial" w:hAnsi="Arial"/>
                <w:sz w:val="11"/>
                <w:szCs w:val="11"/>
                <w:color w:val="auto"/>
                <w:w w:val="94"/>
              </w:rPr>
              <w:t>FOR</w:t>
            </w:r>
          </w:p>
        </w:tc>
        <w:tc>
          <w:tcPr>
            <w:tcW w:w="1500" w:type="dxa"/>
            <w:vAlign w:val="bottom"/>
            <w:gridSpan w:val="2"/>
            <w:shd w:val="clear" w:color="auto" w:fill="D9D9D9"/>
          </w:tcPr>
          <w:p>
            <w:pPr>
              <w:jc w:val="center"/>
              <w:ind w:right="80"/>
              <w:spacing w:after="0"/>
              <w:rPr>
                <w:sz w:val="20"/>
                <w:szCs w:val="20"/>
                <w:color w:val="auto"/>
              </w:rPr>
            </w:pPr>
            <w:r>
              <w:rPr>
                <w:rFonts w:ascii="Arial" w:cs="Arial" w:eastAsia="Arial" w:hAnsi="Arial"/>
                <w:sz w:val="11"/>
                <w:szCs w:val="11"/>
                <w:color w:val="auto"/>
                <w:w w:val="99"/>
              </w:rPr>
              <w:t>No</w:t>
            </w:r>
          </w:p>
        </w:tc>
        <w:tc>
          <w:tcPr>
            <w:tcW w:w="1280" w:type="dxa"/>
            <w:vAlign w:val="bottom"/>
            <w:gridSpan w:val="2"/>
            <w:shd w:val="clear" w:color="auto" w:fill="D9D9D9"/>
          </w:tcPr>
          <w:p>
            <w:pPr>
              <w:jc w:val="center"/>
              <w:ind w:right="80"/>
              <w:spacing w:after="0"/>
              <w:rPr>
                <w:sz w:val="20"/>
                <w:szCs w:val="20"/>
                <w:color w:val="auto"/>
              </w:rPr>
            </w:pPr>
            <w:r>
              <w:rPr>
                <w:rFonts w:ascii="Arial" w:cs="Arial" w:eastAsia="Arial" w:hAnsi="Arial"/>
                <w:sz w:val="11"/>
                <w:szCs w:val="11"/>
                <w:color w:val="auto"/>
                <w:w w:val="97"/>
              </w:rPr>
              <w:t>Against</w:t>
            </w:r>
          </w:p>
        </w:tc>
        <w:tc>
          <w:tcPr>
            <w:tcW w:w="88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1"/>
              </w:rPr>
              <w:t>None</w:t>
            </w:r>
          </w:p>
        </w:tc>
      </w:tr>
      <w:tr>
        <w:trPr>
          <w:trHeight w:val="135"/>
        </w:trPr>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Enterprises, Inc. 2019</w:t>
            </w:r>
          </w:p>
        </w:tc>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online) or by proxy and entitled to vote on</w:t>
            </w:r>
          </w:p>
        </w:tc>
        <w:tc>
          <w:tcPr>
            <w:tcW w:w="1180" w:type="dxa"/>
            <w:vAlign w:val="bottom"/>
            <w:gridSpan w:val="2"/>
            <w:shd w:val="clear" w:color="auto" w:fill="D9D9D9"/>
          </w:tcPr>
          <w:p>
            <w:pPr>
              <w:ind w:left="20"/>
              <w:spacing w:after="0"/>
              <w:rPr>
                <w:sz w:val="20"/>
                <w:szCs w:val="20"/>
                <w:color w:val="auto"/>
              </w:rPr>
            </w:pPr>
            <w:r>
              <w:rPr>
                <w:rFonts w:ascii="Arial" w:cs="Arial" w:eastAsia="Arial" w:hAnsi="Arial"/>
                <w:sz w:val="11"/>
                <w:szCs w:val="11"/>
                <w:color w:val="auto"/>
              </w:rPr>
              <w:t>ABSTAIN</w:t>
            </w:r>
          </w:p>
        </w:tc>
        <w:tc>
          <w:tcPr>
            <w:tcW w:w="186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44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122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r>
      <w:tr>
        <w:trPr>
          <w:trHeight w:val="126"/>
        </w:trPr>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Stock Incentive Plan, As Amended and</w:t>
            </w:r>
          </w:p>
        </w:tc>
        <w:tc>
          <w:tcPr>
            <w:tcW w:w="2260" w:type="dxa"/>
            <w:vAlign w:val="bottom"/>
            <w:gridSpan w:val="2"/>
            <w:shd w:val="clear" w:color="auto" w:fill="D9D9D9"/>
          </w:tcPr>
          <w:p>
            <w:pPr>
              <w:spacing w:after="0" w:line="126" w:lineRule="exact"/>
              <w:rPr>
                <w:sz w:val="20"/>
                <w:szCs w:val="20"/>
                <w:color w:val="auto"/>
              </w:rPr>
            </w:pPr>
            <w:r>
              <w:rPr>
                <w:rFonts w:ascii="Arial" w:cs="Arial" w:eastAsia="Arial" w:hAnsi="Arial"/>
                <w:sz w:val="11"/>
                <w:szCs w:val="11"/>
                <w:color w:val="auto"/>
              </w:rPr>
              <w:t>this item</w:t>
            </w:r>
            <w:r>
              <w:rPr>
                <w:rFonts w:ascii="Arial" w:cs="Arial" w:eastAsia="Arial" w:hAnsi="Arial"/>
                <w:sz w:val="14"/>
                <w:szCs w:val="14"/>
                <w:color w:val="auto"/>
                <w:vertAlign w:val="superscript"/>
              </w:rPr>
              <w:t>(3)</w:t>
            </w:r>
          </w:p>
        </w:tc>
        <w:tc>
          <w:tcPr>
            <w:tcW w:w="1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86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4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2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880" w:type="dxa"/>
            <w:vAlign w:val="bottom"/>
            <w:shd w:val="clear" w:color="auto" w:fill="D9D9D9"/>
          </w:tcPr>
          <w:p>
            <w:pPr>
              <w:spacing w:after="0"/>
              <w:rPr>
                <w:sz w:val="10"/>
                <w:szCs w:val="10"/>
                <w:color w:val="auto"/>
              </w:rPr>
            </w:pPr>
          </w:p>
        </w:tc>
      </w:tr>
      <w:tr>
        <w:trPr>
          <w:trHeight w:val="142"/>
        </w:trPr>
        <w:tc>
          <w:tcPr>
            <w:tcW w:w="2260" w:type="dxa"/>
            <w:vAlign w:val="bottom"/>
            <w:gridSpan w:val="2"/>
            <w:shd w:val="clear" w:color="auto" w:fill="D9D9D9"/>
          </w:tcPr>
          <w:p>
            <w:pPr>
              <w:spacing w:after="0"/>
              <w:rPr>
                <w:sz w:val="20"/>
                <w:szCs w:val="20"/>
                <w:color w:val="auto"/>
              </w:rPr>
            </w:pPr>
            <w:r>
              <w:rPr>
                <w:rFonts w:ascii="Arial" w:cs="Arial" w:eastAsia="Arial" w:hAnsi="Arial"/>
                <w:sz w:val="11"/>
                <w:szCs w:val="11"/>
                <w:color w:val="auto"/>
              </w:rPr>
              <w:t>Restated (2026)</w:t>
            </w:r>
          </w:p>
        </w:tc>
        <w:tc>
          <w:tcPr>
            <w:tcW w:w="21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1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8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4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r>
      <w:tr>
        <w:trPr>
          <w:trHeight w:val="182"/>
        </w:trPr>
        <w:tc>
          <w:tcPr>
            <w:tcW w:w="218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218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1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86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4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r>
    </w:tbl>
    <w:p>
      <w:pPr>
        <w:spacing w:after="0" w:line="9" w:lineRule="exact"/>
        <w:rPr>
          <w:sz w:val="20"/>
          <w:szCs w:val="20"/>
          <w:color w:val="auto"/>
        </w:rPr>
      </w:pPr>
    </w:p>
    <w:p>
      <w:pPr>
        <w:sectPr>
          <w:pgSz w:w="11900" w:h="16838" w:orient="portrait"/>
          <w:cols w:equalWidth="0" w:num="1">
            <w:col w:w="11308"/>
          </w:cols>
          <w:pgMar w:left="292" w:top="811" w:right="299" w:bottom="1440" w:gutter="0" w:footer="0" w:header="0"/>
        </w:sectPr>
      </w:pPr>
    </w:p>
    <w:p>
      <w:pPr>
        <w:ind w:left="8"/>
        <w:spacing w:after="0" w:line="287" w:lineRule="auto"/>
        <w:rPr>
          <w:sz w:val="20"/>
          <w:szCs w:val="20"/>
          <w:color w:val="auto"/>
        </w:rPr>
      </w:pPr>
      <w:r>
        <w:rPr>
          <w:rFonts w:ascii="Arial" w:cs="Arial" w:eastAsia="Arial" w:hAnsi="Arial"/>
          <w:sz w:val="10"/>
          <w:szCs w:val="10"/>
          <w:b w:val="1"/>
          <w:bCs w:val="1"/>
          <w:color w:val="auto"/>
        </w:rPr>
        <w:t xml:space="preserve">Proposal 4 - </w:t>
      </w:r>
      <w:r>
        <w:rPr>
          <w:rFonts w:ascii="Arial" w:cs="Arial" w:eastAsia="Arial" w:hAnsi="Arial"/>
          <w:sz w:val="10"/>
          <w:szCs w:val="10"/>
          <w:color w:val="auto"/>
        </w:rPr>
        <w:t>Ratification of the appointment</w:t>
      </w:r>
      <w:r>
        <w:rPr>
          <w:rFonts w:ascii="Arial" w:cs="Arial" w:eastAsia="Arial" w:hAnsi="Arial"/>
          <w:sz w:val="10"/>
          <w:szCs w:val="10"/>
          <w:b w:val="1"/>
          <w:bCs w:val="1"/>
          <w:color w:val="auto"/>
        </w:rPr>
        <w:t xml:space="preserve"> </w:t>
      </w:r>
      <w:r>
        <w:rPr>
          <w:rFonts w:ascii="Arial" w:cs="Arial" w:eastAsia="Arial" w:hAnsi="Arial"/>
          <w:sz w:val="10"/>
          <w:szCs w:val="10"/>
          <w:color w:val="auto"/>
        </w:rPr>
        <w:t>of Deloitte &amp; Touche LLP as our independent registered public accounting firm for the fiscal year ending February 27, 2027</w:t>
      </w:r>
    </w:p>
    <w:p>
      <w:pPr>
        <w:spacing w:after="0" w:line="54"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20"/>
                <w:szCs w:val="20"/>
                <w:color w:val="auto"/>
              </w:rPr>
            </w:pPr>
            <w:r>
              <w:rPr>
                <w:rFonts w:ascii="Arial" w:cs="Arial" w:eastAsia="Arial" w:hAnsi="Arial"/>
                <w:sz w:val="11"/>
                <w:szCs w:val="11"/>
                <w:color w:val="auto"/>
              </w:rPr>
              <w:t>Majority of votes present in person (i.e.,</w:t>
            </w:r>
          </w:p>
        </w:tc>
        <w:tc>
          <w:tcPr>
            <w:tcW w:w="1540" w:type="dxa"/>
            <w:vAlign w:val="bottom"/>
          </w:tcPr>
          <w:p>
            <w:pPr>
              <w:ind w:left="160"/>
              <w:spacing w:after="0"/>
              <w:rPr>
                <w:sz w:val="20"/>
                <w:szCs w:val="20"/>
                <w:color w:val="auto"/>
              </w:rPr>
            </w:pPr>
            <w:r>
              <w:rPr>
                <w:rFonts w:ascii="Arial" w:cs="Arial" w:eastAsia="Arial" w:hAnsi="Arial"/>
                <w:sz w:val="11"/>
                <w:szCs w:val="11"/>
                <w:color w:val="auto"/>
              </w:rPr>
              <w:t>FOR, AGAINST,</w:t>
            </w:r>
          </w:p>
        </w:tc>
        <w:tc>
          <w:tcPr>
            <w:tcW w:w="1580" w:type="dxa"/>
            <w:vAlign w:val="bottom"/>
          </w:tcPr>
          <w:p>
            <w:pPr>
              <w:ind w:left="600"/>
              <w:spacing w:after="0"/>
              <w:rPr>
                <w:sz w:val="20"/>
                <w:szCs w:val="20"/>
                <w:color w:val="auto"/>
              </w:rPr>
            </w:pPr>
            <w:r>
              <w:rPr>
                <w:rFonts w:ascii="Arial" w:cs="Arial" w:eastAsia="Arial" w:hAnsi="Arial"/>
                <w:sz w:val="11"/>
                <w:szCs w:val="11"/>
                <w:color w:val="auto"/>
              </w:rPr>
              <w:t>FOR</w:t>
            </w:r>
          </w:p>
        </w:tc>
        <w:tc>
          <w:tcPr>
            <w:tcW w:w="1500" w:type="dxa"/>
            <w:vAlign w:val="bottom"/>
          </w:tcPr>
          <w:p>
            <w:pPr>
              <w:ind w:left="760"/>
              <w:spacing w:after="0"/>
              <w:rPr>
                <w:sz w:val="20"/>
                <w:szCs w:val="20"/>
                <w:color w:val="auto"/>
              </w:rPr>
            </w:pPr>
            <w:r>
              <w:rPr>
                <w:rFonts w:ascii="Arial" w:cs="Arial" w:eastAsia="Arial" w:hAnsi="Arial"/>
                <w:sz w:val="11"/>
                <w:szCs w:val="11"/>
                <w:color w:val="auto"/>
              </w:rPr>
              <w:t>Yes</w:t>
            </w:r>
          </w:p>
        </w:tc>
        <w:tc>
          <w:tcPr>
            <w:tcW w:w="1340" w:type="dxa"/>
            <w:vAlign w:val="bottom"/>
          </w:tcPr>
          <w:p>
            <w:pPr>
              <w:ind w:left="560"/>
              <w:spacing w:after="0"/>
              <w:rPr>
                <w:sz w:val="20"/>
                <w:szCs w:val="20"/>
                <w:color w:val="auto"/>
              </w:rPr>
            </w:pPr>
            <w:r>
              <w:rPr>
                <w:rFonts w:ascii="Arial" w:cs="Arial" w:eastAsia="Arial" w:hAnsi="Arial"/>
                <w:sz w:val="11"/>
                <w:szCs w:val="11"/>
                <w:color w:val="auto"/>
              </w:rPr>
              <w:t>Against</w:t>
            </w:r>
          </w:p>
        </w:tc>
        <w:tc>
          <w:tcPr>
            <w:tcW w:w="600" w:type="dxa"/>
            <w:vAlign w:val="bottom"/>
          </w:tcPr>
          <w:p>
            <w:pPr>
              <w:ind w:left="420"/>
              <w:spacing w:after="0"/>
              <w:rPr>
                <w:sz w:val="20"/>
                <w:szCs w:val="20"/>
                <w:color w:val="auto"/>
              </w:rPr>
            </w:pPr>
            <w:r>
              <w:rPr>
                <w:rFonts w:ascii="Arial" w:cs="Arial" w:eastAsia="Arial" w:hAnsi="Arial"/>
                <w:sz w:val="11"/>
                <w:szCs w:val="11"/>
                <w:color w:val="auto"/>
                <w:w w:val="86"/>
              </w:rPr>
              <w:t>N/A</w:t>
            </w:r>
          </w:p>
        </w:tc>
      </w:tr>
      <w:tr>
        <w:trPr>
          <w:trHeight w:val="135"/>
        </w:trPr>
        <w:tc>
          <w:tcPr>
            <w:tcW w:w="2120" w:type="dxa"/>
            <w:vAlign w:val="bottom"/>
          </w:tcPr>
          <w:p>
            <w:pPr>
              <w:spacing w:after="0"/>
              <w:rPr>
                <w:sz w:val="20"/>
                <w:szCs w:val="20"/>
                <w:color w:val="auto"/>
              </w:rPr>
            </w:pPr>
            <w:r>
              <w:rPr>
                <w:rFonts w:ascii="Arial" w:cs="Arial" w:eastAsia="Arial" w:hAnsi="Arial"/>
                <w:sz w:val="11"/>
                <w:szCs w:val="11"/>
                <w:color w:val="auto"/>
              </w:rPr>
              <w:t>online) or by proxy and entitled to vote on</w:t>
            </w:r>
          </w:p>
        </w:tc>
        <w:tc>
          <w:tcPr>
            <w:tcW w:w="1540" w:type="dxa"/>
            <w:vAlign w:val="bottom"/>
          </w:tcPr>
          <w:p>
            <w:pPr>
              <w:ind w:left="160"/>
              <w:spacing w:after="0"/>
              <w:rPr>
                <w:sz w:val="20"/>
                <w:szCs w:val="20"/>
                <w:color w:val="auto"/>
              </w:rPr>
            </w:pPr>
            <w:r>
              <w:rPr>
                <w:rFonts w:ascii="Arial" w:cs="Arial" w:eastAsia="Arial" w:hAnsi="Arial"/>
                <w:sz w:val="11"/>
                <w:szCs w:val="11"/>
                <w:color w:val="auto"/>
              </w:rPr>
              <w:t>ABSTAIN</w:t>
            </w:r>
          </w:p>
        </w:tc>
        <w:tc>
          <w:tcPr>
            <w:tcW w:w="1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9"/>
        </w:trPr>
        <w:tc>
          <w:tcPr>
            <w:tcW w:w="2120" w:type="dxa"/>
            <w:vAlign w:val="bottom"/>
          </w:tcPr>
          <w:p>
            <w:pPr>
              <w:spacing w:after="0"/>
              <w:rPr>
                <w:sz w:val="20"/>
                <w:szCs w:val="20"/>
                <w:color w:val="auto"/>
              </w:rPr>
            </w:pPr>
            <w:r>
              <w:rPr>
                <w:rFonts w:ascii="Arial" w:cs="Arial" w:eastAsia="Arial" w:hAnsi="Arial"/>
                <w:sz w:val="11"/>
                <w:szCs w:val="11"/>
                <w:color w:val="auto"/>
              </w:rPr>
              <w:t>this item</w:t>
            </w:r>
            <w:r>
              <w:rPr>
                <w:rFonts w:ascii="Arial" w:cs="Arial" w:eastAsia="Arial" w:hAnsi="Arial"/>
                <w:sz w:val="14"/>
                <w:szCs w:val="14"/>
                <w:color w:val="auto"/>
                <w:vertAlign w:val="superscript"/>
              </w:rPr>
              <w:t>(3)</w:t>
            </w:r>
          </w:p>
        </w:tc>
        <w:tc>
          <w:tcPr>
            <w:tcW w:w="1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line="302" w:lineRule="exact"/>
        <w:rPr>
          <w:sz w:val="20"/>
          <w:szCs w:val="20"/>
          <w:color w:val="auto"/>
        </w:rPr>
      </w:pPr>
    </w:p>
    <w:p>
      <w:pPr>
        <w:sectPr>
          <w:pgSz w:w="11900" w:h="16838" w:orient="portrait"/>
          <w:cols w:equalWidth="0" w:num="2">
            <w:col w:w="2148" w:space="120"/>
            <w:col w:w="9040"/>
          </w:cols>
          <w:pgMar w:left="292" w:top="811" w:right="299" w:bottom="1440" w:gutter="0" w:footer="0" w:header="0"/>
          <w:type w:val="continuous"/>
        </w:sectPr>
      </w:pPr>
    </w:p>
    <w:p>
      <w:pPr>
        <w:jc w:val="both"/>
        <w:ind w:left="328" w:hanging="328"/>
        <w:spacing w:after="0" w:line="262" w:lineRule="auto"/>
        <w:tabs>
          <w:tab w:leader="none" w:pos="322"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“broker non-vote” occurs when a nominee holding shares for a beneficial owner does not vote on a particular proposal because the nominee does not have discretionary voting power with respect to that proposal and has not received voting instructions from the beneficial owner. If a broker returns a “non-vote” proxy indicating a lack of authority to vote on a proposal, then the shares covered by such a “non-vote” proxy will be deemed present at the meeting for purposes of determining a quorum, but generally are not counted or deemed to be present in person or by proxy for the purpose of voting on Proposals 1 through 3.</w:t>
      </w:r>
    </w:p>
    <w:p>
      <w:pPr>
        <w:spacing w:after="0" w:line="45" w:lineRule="exact"/>
        <w:rPr>
          <w:rFonts w:ascii="Arial" w:cs="Arial" w:eastAsia="Arial" w:hAnsi="Arial"/>
          <w:sz w:val="12"/>
          <w:szCs w:val="12"/>
          <w:color w:val="auto"/>
        </w:rPr>
      </w:pPr>
    </w:p>
    <w:p>
      <w:pPr>
        <w:jc w:val="both"/>
        <w:ind w:left="328" w:hanging="328"/>
        <w:spacing w:after="0" w:line="259" w:lineRule="auto"/>
        <w:tabs>
          <w:tab w:leader="none" w:pos="322" w:val="left"/>
        </w:tabs>
        <w:numPr>
          <w:ilvl w:val="0"/>
          <w:numId w:val="81"/>
        </w:numPr>
        <w:rPr>
          <w:rFonts w:ascii="Arial" w:cs="Arial" w:eastAsia="Arial" w:hAnsi="Arial"/>
          <w:sz w:val="12"/>
          <w:szCs w:val="12"/>
          <w:color w:val="auto"/>
        </w:rPr>
      </w:pPr>
      <w:r>
        <w:rPr>
          <w:rFonts w:ascii="Arial" w:cs="Arial" w:eastAsia="Arial" w:hAnsi="Arial"/>
          <w:sz w:val="12"/>
          <w:szCs w:val="12"/>
          <w:color w:val="auto"/>
        </w:rPr>
        <w:t>Section 5.02 of the Company’s Articles of Incorporation requires that a director nominee will be elected only if they receive a majority of the votes cast with respect to their election in an uncontested election, that is, the number of shares “for” that nominee exceeds the number of votes cast “against” that nominee. A vote to “abstain” will not have any effect on determining the election results. If a director nominee is not elected and the nominee is an incumbent director, that director shall promptly tender their resignation to the Board of Directors, subject to acceptance by the Board of Directors. In that event, the Nominating and Corporate Governance Committee must make a recommendation to the Board on whether to accept or reject the tender of resignation. The Board, after taking into account the recommendation, must publicly disclose its decision and rationale within 90 days after the election. The director who failed to receive a majority vote will not participate in the decision.</w:t>
      </w:r>
    </w:p>
    <w:p>
      <w:pPr>
        <w:spacing w:after="0" w:line="47" w:lineRule="exact"/>
        <w:rPr>
          <w:rFonts w:ascii="Arial" w:cs="Arial" w:eastAsia="Arial" w:hAnsi="Arial"/>
          <w:sz w:val="12"/>
          <w:szCs w:val="12"/>
          <w:color w:val="auto"/>
        </w:rPr>
      </w:pPr>
    </w:p>
    <w:p>
      <w:pPr>
        <w:ind w:left="308" w:hanging="308"/>
        <w:spacing w:after="0"/>
        <w:tabs>
          <w:tab w:leader="none" w:pos="308"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voting standard assumes that the number of shares voted in favor of such proposal constitute more than 25% of the outstanding shares of our common stock.</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2"/>
          <w:szCs w:val="12"/>
          <w:b w:val="1"/>
          <w:bCs w:val="1"/>
          <w:color w:val="05445E"/>
        </w:rPr>
        <w:t>How can I ask questions during the Annual Meeting?</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You may submit questions in real time during the Annual Meeting following the formal business portion of the meeting, by entering them into the field provided on the meeting website. The directors and executive management will answer appropriate questions from shareholders. To allow us to answer questions from as many shareholders as possible, we will limit each shareholder to two questions. It will help us if questions are succinct and cover only one topic.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do I cast my vote?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Your vote is important</w:t>
      </w:r>
      <w:r>
        <w:rPr>
          <w:rFonts w:ascii="Arial" w:cs="Arial" w:eastAsia="Arial" w:hAnsi="Arial"/>
          <w:sz w:val="12"/>
          <w:szCs w:val="12"/>
          <w:color w:val="auto"/>
        </w:rPr>
        <w:t>. If you are a shareholder of record, you can give a proxy to be voted at the Annual Meeting in any of the following ways:</w:t>
      </w:r>
    </w:p>
    <w:p>
      <w:pPr>
        <w:spacing w:after="0" w:line="150" w:lineRule="exact"/>
        <w:rPr>
          <w:sz w:val="20"/>
          <w:szCs w:val="20"/>
          <w:color w:val="auto"/>
        </w:rPr>
      </w:pPr>
    </w:p>
    <w:p>
      <w:pPr>
        <w:ind w:left="420" w:hanging="212"/>
        <w:spacing w:after="0"/>
        <w:tabs>
          <w:tab w:leader="none" w:pos="4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electronically via the Internet by following the “Vote by Internet” instructions on the Notice or, if you received paper copies of our proxy materials, on the enclosed proxy card;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by telephone by following the “Vote by Telephone” instructions on the Notice or, if you received paper copies of our proxy materials, on the proxy card;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by completing, signing and mailing the proxy card (if you received paper copies of our proxy materials);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by attending the virtual Annual Meeting and voting online on the meeting website.</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If you are an employee and received our 2026 proxy materials electronically via the Internet at your company email address, you will only be able to give a proxy to be voted at the Annual Meeting electronically via the Internet as described under “How do I vote if my shares are held in the Employee Stock Purchase Plan or other plans of Apogee?” below.</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If you hold your shares in street name, you must vote your shares in the manner prescribed by your broker or other nominee. Your broker or other nominee has enclosed or otherwise provided a voting instruction card for you to use in directing the broker or other nominee how to vote your shares.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If you properly submit your proxy via the Internet, by telephone or return your executed proxy by mail and do not revoke your proxy, it will be voted in the manner you specify. If you submit a proxy without giving specific voting instructions, the proxies will vote those shares as recommended by the Board.</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do I vote if my shares are held in the Employee Stock Purchase Plan or other plans of Apogee?</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If you hold any shares in our Employee Stock Purchase Plan or other plans of Apogee, your Internet proxy vote or completed proxy card will serve as voting instructions to the plan trustee or plan custodian, as applicable. </w:t>
      </w:r>
      <w:r>
        <w:rPr>
          <w:rFonts w:ascii="Arial" w:cs="Arial" w:eastAsia="Arial" w:hAnsi="Arial"/>
          <w:sz w:val="12"/>
          <w:szCs w:val="12"/>
          <w:b w:val="1"/>
          <w:bCs w:val="1"/>
          <w:u w:val="single" w:color="auto"/>
          <w:color w:val="auto"/>
        </w:rPr>
        <w:t>However, your voting instructions for these plans must be received by 12:00 p.m. (noon) Eastern Time on Monday, June 22, 2026 in</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highlight w:val="white"/>
        </w:rPr>
        <w:t>order to count</w:t>
      </w:r>
      <w:r>
        <w:rPr>
          <w:rFonts w:ascii="Arial" w:cs="Arial" w:eastAsia="Arial" w:hAnsi="Arial"/>
          <w:sz w:val="12"/>
          <w:szCs w:val="12"/>
          <w:color w:val="auto"/>
          <w:highlight w:val="white"/>
        </w:rPr>
        <w:t>. If you are a participant in our Employee</w:t>
      </w:r>
      <w:r>
        <w:rPr>
          <w:rFonts w:ascii="Arial" w:cs="Arial" w:eastAsia="Arial" w:hAnsi="Arial"/>
          <w:sz w:val="12"/>
          <w:szCs w:val="12"/>
          <w:color w:val="auto"/>
        </w:rPr>
        <w:t xml:space="preserve"> Stock Purchase Plan, the plan custodian cannot vote your shares unless it receives timely instructions from you.</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If you hold shares in our Employee Stock Purchase Plan or other plans of Apogee and have a company email address, you will receive our 2026 Proxy Statement and 2026 Annual Report to Shareholders electronically at your company email address instead of receiving paper copies of these documents in the mail. The email will provide instructions and a control number to use to provide voting instructions to the plan trustee via the Internet. </w:t>
      </w:r>
      <w:r>
        <w:rPr>
          <w:rFonts w:ascii="Arial" w:cs="Arial" w:eastAsia="Arial" w:hAnsi="Arial"/>
          <w:sz w:val="12"/>
          <w:szCs w:val="12"/>
          <w:u w:val="single" w:color="auto"/>
          <w:color w:val="auto"/>
        </w:rPr>
        <w:t>If you receive our 2026 Proxy Statement and 2026 Annual Report to Shareholders electronically, you may only provide voting instructions to the plan trustee or plan custodian, as</w:t>
      </w:r>
      <w:r>
        <w:rPr>
          <w:rFonts w:ascii="Arial" w:cs="Arial" w:eastAsia="Arial" w:hAnsi="Arial"/>
          <w:sz w:val="12"/>
          <w:szCs w:val="12"/>
          <w:color w:val="auto"/>
        </w:rPr>
        <w:t xml:space="preserve"> </w:t>
      </w:r>
      <w:r>
        <w:rPr>
          <w:rFonts w:ascii="Arial" w:cs="Arial" w:eastAsia="Arial" w:hAnsi="Arial"/>
          <w:sz w:val="12"/>
          <w:szCs w:val="12"/>
          <w:u w:val="single" w:color="auto"/>
          <w:color w:val="auto"/>
        </w:rPr>
        <w:t>applicable, via the Internet and you will not receive a proxy card that can be returned by mail</w:t>
      </w:r>
      <w:r>
        <w:rPr>
          <w:rFonts w:ascii="Arial" w:cs="Arial" w:eastAsia="Arial" w:hAnsi="Arial"/>
          <w:sz w:val="12"/>
          <w:szCs w:val="12"/>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94" w:name="page95"/>
    <w:bookmarkEnd w:id="94"/>
    <w:p>
      <w:pPr>
        <w:spacing w:after="0"/>
        <w:rPr>
          <w:sz w:val="20"/>
          <w:szCs w:val="20"/>
          <w:color w:val="auto"/>
        </w:rPr>
      </w:pPr>
      <w:r>
        <w:rPr>
          <w:rFonts w:ascii="Arial" w:cs="Arial" w:eastAsia="Arial" w:hAnsi="Arial"/>
          <w:sz w:val="11"/>
          <w:szCs w:val="11"/>
          <w:color w:val="auto"/>
        </w:rPr>
        <w:t>If you are an employee who received our 2026 Proxy Statement and 2026 Annual Report to Shareholders electronically and you wish to receive a paper copy of these materials, you should contact:</w:t>
      </w:r>
    </w:p>
    <w:p>
      <w:pPr>
        <w:sectPr>
          <w:pgSz w:w="11900" w:h="16838" w:orient="portrait"/>
          <w:cols w:equalWidth="0" w:num="1">
            <w:col w:w="11300"/>
          </w:cols>
          <w:pgMar w:left="300" w:top="811" w:right="299" w:bottom="1440" w:gutter="0" w:footer="0" w:header="0"/>
        </w:sectPr>
      </w:pPr>
    </w:p>
    <w:p>
      <w:pPr>
        <w:spacing w:after="0" w:line="198" w:lineRule="exact"/>
        <w:rPr>
          <w:sz w:val="20"/>
          <w:szCs w:val="20"/>
          <w:color w:val="auto"/>
        </w:rPr>
      </w:pPr>
    </w:p>
    <w:p>
      <w:pPr>
        <w:ind w:left="3020"/>
        <w:spacing w:after="0"/>
        <w:rPr>
          <w:sz w:val="20"/>
          <w:szCs w:val="20"/>
          <w:color w:val="auto"/>
        </w:rPr>
      </w:pPr>
      <w:r>
        <w:rPr>
          <w:rFonts w:ascii="Arial" w:cs="Arial" w:eastAsia="Arial" w:hAnsi="Arial"/>
          <w:sz w:val="11"/>
          <w:szCs w:val="11"/>
          <w:color w:val="auto"/>
        </w:rPr>
        <w:t>Internet: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color w:val="auto"/>
        </w:rPr>
        <w:t>www.apog.com</w:t>
      </w:r>
    </w:p>
    <w:p>
      <w:pPr>
        <w:spacing w:after="0" w:line="54" w:lineRule="exact"/>
        <w:rPr>
          <w:sz w:val="20"/>
          <w:szCs w:val="20"/>
          <w:color w:val="auto"/>
        </w:rPr>
      </w:pPr>
    </w:p>
    <w:p>
      <w:pPr>
        <w:sectPr>
          <w:pgSz w:w="11900" w:h="16838" w:orient="portrait"/>
          <w:cols w:equalWidth="0" w:num="2">
            <w:col w:w="4020" w:space="720"/>
            <w:col w:w="6560"/>
          </w:cols>
          <w:pgMar w:left="300" w:top="811" w:right="299" w:bottom="1440" w:gutter="0" w:footer="0" w:header="0"/>
          <w:type w:val="continuous"/>
        </w:sectPr>
      </w:pPr>
    </w:p>
    <w:p>
      <w:pPr>
        <w:ind w:left="3020"/>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IR@apog.com</w:t>
      </w:r>
    </w:p>
    <w:p>
      <w:pPr>
        <w:spacing w:after="0" w:line="53" w:lineRule="exact"/>
        <w:rPr>
          <w:sz w:val="20"/>
          <w:szCs w:val="20"/>
          <w:color w:val="auto"/>
        </w:rPr>
      </w:pPr>
    </w:p>
    <w:p>
      <w:pPr>
        <w:sectPr>
          <w:pgSz w:w="11900" w:h="16838" w:orient="portrait"/>
          <w:cols w:equalWidth="0" w:num="2">
            <w:col w:w="4020" w:space="720"/>
            <w:col w:w="6560"/>
          </w:cols>
          <w:pgMar w:left="300" w:top="811" w:right="299" w:bottom="1440" w:gutter="0" w:footer="0" w:header="0"/>
          <w:type w:val="continuous"/>
        </w:sectPr>
      </w:pPr>
    </w:p>
    <w:p>
      <w:pPr>
        <w:ind w:left="3020"/>
        <w:spacing w:after="0"/>
        <w:rPr>
          <w:sz w:val="20"/>
          <w:szCs w:val="20"/>
          <w:color w:val="auto"/>
        </w:rPr>
      </w:pPr>
      <w:r>
        <w:rPr>
          <w:rFonts w:ascii="Arial" w:cs="Arial" w:eastAsia="Arial" w:hAnsi="Arial"/>
          <w:sz w:val="11"/>
          <w:szCs w:val="11"/>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(877) 752-3432</w:t>
      </w:r>
    </w:p>
    <w:p>
      <w:pPr>
        <w:spacing w:after="0" w:line="54" w:lineRule="exact"/>
        <w:rPr>
          <w:sz w:val="20"/>
          <w:szCs w:val="20"/>
          <w:color w:val="auto"/>
        </w:rPr>
      </w:pPr>
    </w:p>
    <w:p>
      <w:pPr>
        <w:sectPr>
          <w:pgSz w:w="11900" w:h="16838" w:orient="portrait"/>
          <w:cols w:equalWidth="0" w:num="2">
            <w:col w:w="4020" w:space="720"/>
            <w:col w:w="6560"/>
          </w:cols>
          <w:pgMar w:left="300" w:top="811" w:right="299" w:bottom="1440" w:gutter="0" w:footer="0" w:header="0"/>
          <w:type w:val="continuous"/>
        </w:sectPr>
      </w:pPr>
    </w:p>
    <w:p>
      <w:pPr>
        <w:ind w:left="3020"/>
        <w:spacing w:after="0"/>
        <w:rPr>
          <w:sz w:val="20"/>
          <w:szCs w:val="20"/>
          <w:color w:val="auto"/>
        </w:rPr>
      </w:pPr>
      <w:r>
        <w:rPr>
          <w:rFonts w:ascii="Arial" w:cs="Arial" w:eastAsia="Arial" w:hAnsi="Arial"/>
          <w:sz w:val="12"/>
          <w:szCs w:val="12"/>
          <w:color w:val="auto"/>
        </w:rPr>
        <w:t>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Apogee Enterprises, Inc.</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4400 West 78th Street, Suite 520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 55435</w:t>
      </w:r>
    </w:p>
    <w:p>
      <w:pPr>
        <w:spacing w:after="0" w:line="200" w:lineRule="exact"/>
        <w:rPr>
          <w:sz w:val="20"/>
          <w:szCs w:val="20"/>
          <w:color w:val="auto"/>
        </w:rPr>
      </w:pPr>
    </w:p>
    <w:p>
      <w:pPr>
        <w:sectPr>
          <w:pgSz w:w="11900" w:h="16838" w:orient="portrait"/>
          <w:cols w:equalWidth="0" w:num="2">
            <w:col w:w="4020" w:space="720"/>
            <w:col w:w="6560"/>
          </w:cols>
          <w:pgMar w:left="300" w:top="811" w:right="2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What does it mean if I receive more than one proxy card?</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If you receive more than one proxy card, it means that you hold shares registered in more than one account in different names or variations of your name. To ensure that all of your shares are voted, if you submit your proxy vote via the Internet or by telephone vote once for each proxy card you received or sign and return each proxy card.</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You may prefer to hold your shares in more than one account, and you are welcome to do so. However, please contact our Investor Relations Department at IR@apog.com or (877) 752-3432 (telephone) for information on how to merge your accounts.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Who will count the vote?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Representatives of Broadridge Financial Solutions, Inc., our tabulating agent, will tabulate the votes and act as independent inspector of election.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What if I do not specify how I want my shares voted?</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If you submit your proxy via the Internet or telephone or a signed proxy card and do not specify how you want to vote your shares, we will vote your shares </w:t>
      </w:r>
      <w:r>
        <w:rPr>
          <w:rFonts w:ascii="Arial" w:cs="Arial" w:eastAsia="Arial" w:hAnsi="Arial"/>
          <w:sz w:val="12"/>
          <w:szCs w:val="12"/>
          <w:b w:val="1"/>
          <w:bCs w:val="1"/>
          <w:color w:val="auto"/>
        </w:rPr>
        <w:t>FOR all nominees and proposals.</w:t>
      </w:r>
      <w:r>
        <w:rPr>
          <w:rFonts w:ascii="Arial" w:cs="Arial" w:eastAsia="Arial" w:hAnsi="Arial"/>
          <w:sz w:val="12"/>
          <w:szCs w:val="12"/>
          <w:color w:val="auto"/>
        </w:rPr>
        <w:t xml:space="preserve"> As of the date of this Proxy Statement, we know of no other matters that will be presented for a shareholder vote at the Annual Meeting. If any other matters properly come before the Annual Meeting for a shareholder vote, they will be voted in the discretion of the persons named in the proxy.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Can I change my vote after submitting my proxy or voting instructions?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Yes. If you are a shareholder of record, you may revoke your proxy and change your vote at any time before your proxy is voted at the Annual Meeting, in any of the following ways:</w:t>
      </w:r>
    </w:p>
    <w:p>
      <w:pPr>
        <w:spacing w:after="0" w:line="150" w:lineRule="exact"/>
        <w:rPr>
          <w:sz w:val="20"/>
          <w:szCs w:val="20"/>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by sending a written notice of revocation to our Corporate Secretary;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by submitting a later-dated proxy to our Corporate Secretary;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by submitting a later-dated proxy via the Internet;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by submitting a later-dated proxy by telephone;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by voting in person at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If you hold your shares in street name, you should contact your broker, bank, trust or other nominee for information on how to revoke your voting instructions and provide new voting instructions.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If you hold shares in our Employee Stock Purchase Plan or other plans of Apogee, you may revoke your proxy and change your voting instructions at any time, but no later than 12:00 p.m. (noon) Eastern Time 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Monday, June 22, 2026, in any of the following ways:</w:t>
      </w:r>
    </w:p>
    <w:p>
      <w:pPr>
        <w:spacing w:after="0" w:line="138" w:lineRule="exact"/>
        <w:rPr>
          <w:sz w:val="20"/>
          <w:szCs w:val="20"/>
          <w:color w:val="auto"/>
        </w:rPr>
      </w:pPr>
    </w:p>
    <w:p>
      <w:pPr>
        <w:ind w:left="420" w:hanging="212"/>
        <w:spacing w:after="0"/>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by sending a written notice of revocation to the plan trustee or plan custodian;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by submitting a later-dated voting instruction or proxy to the plan trustee or plan custodian;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type w:val="continuous"/>
        </w:sectPr>
      </w:pPr>
    </w:p>
    <w:bookmarkStart w:id="95" w:name="page96"/>
    <w:bookmarkEnd w:id="95"/>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by submitting a later-dated voting instruction or proxy via the Internet;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by submitting a later-dated voting instruction by telephone.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can I get a copy of the Company’s 2026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Shareholders who wish to obtain additional copies of our 2026 Annual Report to Shareholders on Form 10-K may do so without charge by contacting us through one of the following methods:</w:t>
      </w:r>
    </w:p>
    <w:p>
      <w:pPr>
        <w:sectPr>
          <w:pgSz w:w="11900" w:h="16838" w:orient="portrait"/>
          <w:cols w:equalWidth="0" w:num="1">
            <w:col w:w="11300"/>
          </w:cols>
          <w:pgMar w:left="300" w:top="667" w:right="299" w:bottom="1440" w:gutter="0" w:footer="0" w:header="0"/>
        </w:sectPr>
      </w:pPr>
    </w:p>
    <w:p>
      <w:pPr>
        <w:spacing w:after="0" w:line="198" w:lineRule="exact"/>
        <w:rPr>
          <w:sz w:val="20"/>
          <w:szCs w:val="20"/>
          <w:color w:val="auto"/>
        </w:rPr>
      </w:pPr>
    </w:p>
    <w:p>
      <w:pPr>
        <w:ind w:left="3020"/>
        <w:spacing w:after="0"/>
        <w:rPr>
          <w:sz w:val="20"/>
          <w:szCs w:val="20"/>
          <w:color w:val="auto"/>
        </w:rPr>
      </w:pPr>
      <w:r>
        <w:rPr>
          <w:rFonts w:ascii="Arial" w:cs="Arial" w:eastAsia="Arial" w:hAnsi="Arial"/>
          <w:sz w:val="11"/>
          <w:szCs w:val="11"/>
          <w:color w:val="auto"/>
        </w:rPr>
        <w:t>Internet: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color w:val="auto"/>
        </w:rPr>
        <w:t>www.apog.com</w:t>
      </w:r>
    </w:p>
    <w:p>
      <w:pPr>
        <w:spacing w:after="0" w:line="54" w:lineRule="exact"/>
        <w:rPr>
          <w:sz w:val="20"/>
          <w:szCs w:val="20"/>
          <w:color w:val="auto"/>
        </w:rPr>
      </w:pPr>
    </w:p>
    <w:p>
      <w:pPr>
        <w:sectPr>
          <w:pgSz w:w="11900" w:h="16838" w:orient="portrait"/>
          <w:cols w:equalWidth="0" w:num="2">
            <w:col w:w="4020" w:space="720"/>
            <w:col w:w="6560"/>
          </w:cols>
          <w:pgMar w:left="300" w:top="667" w:right="299" w:bottom="1440" w:gutter="0" w:footer="0" w:header="0"/>
          <w:type w:val="continuous"/>
        </w:sectPr>
      </w:pPr>
    </w:p>
    <w:p>
      <w:pPr>
        <w:ind w:left="3020"/>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IR@apog.com</w:t>
      </w:r>
    </w:p>
    <w:p>
      <w:pPr>
        <w:spacing w:after="0" w:line="53" w:lineRule="exact"/>
        <w:rPr>
          <w:sz w:val="20"/>
          <w:szCs w:val="20"/>
          <w:color w:val="auto"/>
        </w:rPr>
      </w:pPr>
    </w:p>
    <w:p>
      <w:pPr>
        <w:sectPr>
          <w:pgSz w:w="11900" w:h="16838" w:orient="portrait"/>
          <w:cols w:equalWidth="0" w:num="2">
            <w:col w:w="4020" w:space="720"/>
            <w:col w:w="6560"/>
          </w:cols>
          <w:pgMar w:left="300" w:top="667" w:right="299" w:bottom="1440" w:gutter="0" w:footer="0" w:header="0"/>
          <w:type w:val="continuous"/>
        </w:sectPr>
      </w:pPr>
    </w:p>
    <w:p>
      <w:pPr>
        <w:ind w:left="3020"/>
        <w:spacing w:after="0"/>
        <w:rPr>
          <w:sz w:val="20"/>
          <w:szCs w:val="20"/>
          <w:color w:val="auto"/>
        </w:rPr>
      </w:pPr>
      <w:r>
        <w:rPr>
          <w:rFonts w:ascii="Arial" w:cs="Arial" w:eastAsia="Arial" w:hAnsi="Arial"/>
          <w:sz w:val="11"/>
          <w:szCs w:val="11"/>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(877) 752-3432</w:t>
      </w:r>
    </w:p>
    <w:p>
      <w:pPr>
        <w:spacing w:after="0" w:line="54" w:lineRule="exact"/>
        <w:rPr>
          <w:sz w:val="20"/>
          <w:szCs w:val="20"/>
          <w:color w:val="auto"/>
        </w:rPr>
      </w:pPr>
    </w:p>
    <w:p>
      <w:pPr>
        <w:sectPr>
          <w:pgSz w:w="11900" w:h="16838" w:orient="portrait"/>
          <w:cols w:equalWidth="0" w:num="2">
            <w:col w:w="4020" w:space="720"/>
            <w:col w:w="6560"/>
          </w:cols>
          <w:pgMar w:left="300" w:top="667" w:right="299" w:bottom="1440" w:gutter="0" w:footer="0" w:header="0"/>
          <w:type w:val="continuous"/>
        </w:sectPr>
      </w:pPr>
    </w:p>
    <w:p>
      <w:pPr>
        <w:ind w:left="3020"/>
        <w:spacing w:after="0"/>
        <w:rPr>
          <w:sz w:val="20"/>
          <w:szCs w:val="20"/>
          <w:color w:val="auto"/>
        </w:rPr>
      </w:pPr>
      <w:r>
        <w:rPr>
          <w:rFonts w:ascii="Arial" w:cs="Arial" w:eastAsia="Arial" w:hAnsi="Arial"/>
          <w:sz w:val="12"/>
          <w:szCs w:val="12"/>
          <w:color w:val="auto"/>
        </w:rPr>
        <w:t>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Apogee Enterprises, Inc.</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4400 West 78th Street, Suite 520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 55435</w:t>
      </w:r>
    </w:p>
    <w:p>
      <w:pPr>
        <w:spacing w:after="0" w:line="200" w:lineRule="exact"/>
        <w:rPr>
          <w:sz w:val="20"/>
          <w:szCs w:val="20"/>
          <w:color w:val="auto"/>
        </w:rPr>
      </w:pPr>
    </w:p>
    <w:p>
      <w:pPr>
        <w:sectPr>
          <w:pgSz w:w="11900" w:h="16838" w:orient="portrait"/>
          <w:cols w:equalWidth="0" w:num="2">
            <w:col w:w="4020" w:space="720"/>
            <w:col w:w="6560"/>
          </w:cols>
          <w:pgMar w:left="300" w:top="667" w:right="2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do I get electronic access to the proxy materials?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Notice provides you with instructions regarding how to view the proxy materials for the Annual Meeting on the Internet.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2026 Proxy Statement and 2026 Annual Report to Shareholders, including our Annual Report on Form 10-K, are available at </w:t>
      </w:r>
      <w:r>
        <w:rPr>
          <w:rFonts w:ascii="Arial" w:cs="Arial" w:eastAsia="Arial" w:hAnsi="Arial"/>
          <w:sz w:val="12"/>
          <w:szCs w:val="12"/>
          <w:u w:val="single" w:color="auto"/>
          <w:color w:val="auto"/>
        </w:rPr>
        <w:t>www.proxyvote.com</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What is a proxy?</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 proxy is your designation of another person to vote stock you own. That other person is called a proxy. If you designate someone as your proxy in a written document, that document also is called a proxy or a proxy card. When you designate someone a proxy, you may also direct the proxy how to vote your shares. We refer to this as your “proxy vote.” Three of our executive officers, Donald A. Nolan, Mark R. Augdahl and Bryan A. Welp, have been designated as the proxies for shareholders voting on the enclosed proxy card at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What is the difference between a shareholder of record and a “street name” holder?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If your shares are registered directly in your name, you are considered the shareholder of record with respect to those shares.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If your shares are held in a stock brokerage account or by a bank, trust or other nominee, then the broker, bank, trust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 bank, trust or other nominee how to vote their shares using the voting instruction form provided by the broker, bank, trust or other nominee.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Who pays for the cost of proxy preparation and solicitation?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pay for the cost of proxy preparation and solicitation, including the reasonable charges and expenses of brokers and other nominees for forwarding proxy materials to the beneficial owners of our shares.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We are soliciting proxies primarily by mail and email. In addition, some of our officers and regular employees may solicit the return of proxies by telephone, facsimile, personal interview or email. These individuals will receive no additional compensation for these services.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can I recommend or nominate a director candidate?</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Our Nominating and Corporate Governance Committee considers recommendations of director candidates. A shareholder who wishes to recommend a director candidate to our Nominating and Corporate Governance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type w:val="continuous"/>
        </w:sectPr>
      </w:pPr>
    </w:p>
    <w:bookmarkStart w:id="96" w:name="page97"/>
    <w:bookmarkEnd w:id="96"/>
    <w:p>
      <w:pPr>
        <w:jc w:val="both"/>
        <w:spacing w:after="0" w:line="259" w:lineRule="auto"/>
        <w:rPr>
          <w:sz w:val="20"/>
          <w:szCs w:val="20"/>
          <w:color w:val="auto"/>
        </w:rPr>
      </w:pPr>
      <w:r>
        <w:rPr>
          <w:rFonts w:ascii="Arial" w:cs="Arial" w:eastAsia="Arial" w:hAnsi="Arial"/>
          <w:sz w:val="12"/>
          <w:szCs w:val="12"/>
          <w:color w:val="auto"/>
        </w:rPr>
        <w:t>Committee for nomination by our Board of Directors at our next annual meeting, or for vacancies on our Board of Directors that arise between meetings, must provide our Nominating and Corporate Governance Committee with sufficient written documentation to permit a determination by our Nominating and Corporate Governance Committee and our Board of Directors as to whether such candidate meets the required and desired director selection criteria set forth in our Corporate Governance Guidelines and the factors discussed under the heading “Criteria for Membership on Our Board of Directors” above. Such documentation and the name of the director candidate must be sent by U.S. mail to our Corporate Secretary at Apogee Enterprises, Inc., 4400 West 78th Street, Suite 520, Minneapolis, MN 55435, no later than January 12, 2027. Our Corporate Secretary will send properly submitted shareholder recommendations to the Chair of our Nominating and Corporate Governance Committee for consideration at a future committee meeting.</w:t>
      </w:r>
    </w:p>
    <w:p>
      <w:pPr>
        <w:spacing w:after="0" w:line="119"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Director candidates recommended by shareholders in compliance with these procedures and who meet the criteria outlined above will be evaluated by our Nominating and Corporate Governance Committee in the same manner as nominees proposed by other sources.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Alternatively, shareholders may directly nominate a person for election to our Board of Directors at a future annual meeting by complying with the procedures set forth in our Amended and Restated By-laws and the rules and regulations of the SEC. Our Amended and Restated By-laws are available on our website at www.apog.com by clicking on “Investors,” select “Governance,” then “By-laws.”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Shareholders who wish to nominate a director candidate for the 2027 Annual Meeting should submit the advance notice, along with other required information, to our Corporate Secretary at Apogee Enterprises, Inc., 4400 West 78th Street, Suite 520, Minneapolis, MN 55435, no later than February 24, 2027. To comply with universal proxy rules, the advance notice must comply with the additional requirements of Rule 14a-19(b) of the Exchange Act.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How can I present a proposal at the 2027 Annual Meeting of Shareholders?</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Any shareholder wishing to have a proposal considered for inclusion in our Proxy Statement for our 2027 Annual Meeting of Shareholders must submit the proposal in writing to our Corporate Secretary at Apogee Enterprises, Inc., 4400 West 78th Street, Suite 520, Minneapolis, MN 55435 in accordance with all applicable rules and regulations of the SEC, including Rule 14a-8, no later than January 12, 2027.</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Under our Amended and Restated By-laws, a shareholder proposal not included in our Proxy Statement for the 2027 Annual Meeting of Shareholders is untimely and may not be presented in any manner at the 2027 Annual Meeting of Shareholders unless the shareholder wishing to make the proposal follows the notice procedures set forth in our Amended and Restated By-laws. Any such shareholder proposals for the 2027 Annual Meeting of Shareholders must be in the form and substance required by the Amended and Restated By-laws and must be submitted to our Corporate Secretary at the address indicated on the Notice of Annual Meeting of Shareholders no later than February 24, 2027.</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5445E"/>
        </w:rPr>
        <w:t>What is “householding” of proxy materials?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SEC rules allow a single copy of the proxy statement and Annual Report to Shareholders to be delivered to multiple shareholders sharing the same address and last name, or who we reasonably believe are members of the same family, and who consent to receive a single copy of these materials in a manner provided by these rules. This practice is referred to as “householding” and can result in significant savings of paper and mailing costs. Although we do not household for our registered shareholders, some brokers household Apogee notices, proxy statements and annual reports, delivering single copies of such documents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our proxy statement and annual report, or if you are receiving multiple copies of documents and wish to receive only one, please notify your broker. We will promptly deliver upon written or oral request a separate copy of our proxy statement and/or Annual Report to Shareholders to a shareholder at a shared address to which a single copy of any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97" w:name="page98"/>
    <w:bookmarkEnd w:id="97"/>
    <w:p>
      <w:pPr>
        <w:spacing w:after="0"/>
        <w:rPr>
          <w:sz w:val="20"/>
          <w:szCs w:val="20"/>
          <w:color w:val="auto"/>
        </w:rPr>
      </w:pPr>
      <w:r>
        <w:rPr>
          <w:rFonts w:ascii="Arial" w:cs="Arial" w:eastAsia="Arial" w:hAnsi="Arial"/>
          <w:sz w:val="12"/>
          <w:szCs w:val="12"/>
          <w:color w:val="auto"/>
        </w:rPr>
        <w:t>document was delivered. For copies of these documents, shareholders should write to our Investor Relations Department at the address listed above, or call (877) 752-3432.</w:t>
      </w:r>
    </w:p>
    <w:p>
      <w:pPr>
        <w:spacing w:after="0" w:line="366"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52070</wp:posOffset>
            </wp:positionV>
            <wp:extent cx="1194435" cy="388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9443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Bryan A. Welp</w:t>
      </w:r>
    </w:p>
    <w:p>
      <w:pPr>
        <w:spacing w:after="0" w:line="18" w:lineRule="exact"/>
        <w:rPr>
          <w:sz w:val="20"/>
          <w:szCs w:val="20"/>
          <w:color w:val="auto"/>
        </w:rPr>
      </w:pPr>
    </w:p>
    <w:p>
      <w:pPr>
        <w:ind w:left="6680"/>
        <w:spacing w:after="0"/>
        <w:rPr>
          <w:sz w:val="20"/>
          <w:szCs w:val="20"/>
          <w:color w:val="auto"/>
        </w:rPr>
      </w:pPr>
      <w:r>
        <w:rPr>
          <w:rFonts w:ascii="Arial" w:cs="Arial" w:eastAsia="Arial" w:hAnsi="Arial"/>
          <w:sz w:val="11"/>
          <w:szCs w:val="11"/>
          <w:color w:val="auto"/>
        </w:rPr>
        <w:t>Vice President, General Counsel and Secretary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Dated: May 12, 2026</w:t>
      </w: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11"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Appendix A - Non-GAAP Measures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This Proxy Statement contains non-GAAP (generally accepted accounting principles in the United States) financial measures. The non-GAAP financial measures below are used as internal measures for performance-based compensation decisions, as further discussed in the Compensation Discussion and Analysis. Definitions for the non-GAAP financial measures contained in this Proxy Statement are provided on page </w:t>
      </w:r>
      <w:r>
        <w:rPr>
          <w:rFonts w:ascii="Arial" w:cs="Arial" w:eastAsia="Arial" w:hAnsi="Arial"/>
          <w:sz w:val="12"/>
          <w:szCs w:val="12"/>
          <w:u w:val="single" w:color="auto"/>
          <w:color w:val="0000FF"/>
        </w:rPr>
        <w:t>36</w:t>
      </w:r>
      <w:r>
        <w:rPr>
          <w:rFonts w:ascii="Arial" w:cs="Arial" w:eastAsia="Arial" w:hAnsi="Arial"/>
          <w:sz w:val="12"/>
          <w:szCs w:val="12"/>
          <w:color w:val="auto"/>
        </w:rPr>
        <w:t xml:space="preserve"> and the reconciliations of the non-GAAP financial measures are located below in this Appendix A. Other companies, including companies in our industry, may define these measures differently or may utilize different non-GAAP financial measures, limiting the usefulness of those measures for comparative purposes between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gridSpan w:val="6"/>
          </w:tcPr>
          <w:p>
            <w:pPr>
              <w:jc w:val="center"/>
              <w:ind w:left="32"/>
              <w:spacing w:after="0"/>
              <w:rPr>
                <w:sz w:val="20"/>
                <w:szCs w:val="20"/>
                <w:color w:val="auto"/>
              </w:rPr>
            </w:pPr>
            <w:r>
              <w:rPr>
                <w:rFonts w:ascii="Arial" w:cs="Arial" w:eastAsia="Arial" w:hAnsi="Arial"/>
                <w:sz w:val="10"/>
                <w:szCs w:val="10"/>
                <w:b w:val="1"/>
                <w:bCs w:val="1"/>
                <w:color w:val="auto"/>
                <w:w w:val="97"/>
              </w:rPr>
              <w:t>Apogee Enterprises, Inc.</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6"/>
          </w:tcPr>
          <w:p>
            <w:pPr>
              <w:jc w:val="center"/>
              <w:ind w:left="32"/>
              <w:spacing w:after="0"/>
              <w:rPr>
                <w:sz w:val="20"/>
                <w:szCs w:val="20"/>
                <w:color w:val="auto"/>
              </w:rPr>
            </w:pPr>
            <w:r>
              <w:rPr>
                <w:rFonts w:ascii="Arial" w:cs="Arial" w:eastAsia="Arial" w:hAnsi="Arial"/>
                <w:sz w:val="10"/>
                <w:szCs w:val="10"/>
                <w:b w:val="1"/>
                <w:bCs w:val="1"/>
                <w:color w:val="auto"/>
                <w:w w:val="96"/>
              </w:rPr>
              <w:t>Reconciliation of Non-GAAP Financial Measures</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6"/>
          </w:tcPr>
          <w:p>
            <w:pPr>
              <w:jc w:val="center"/>
              <w:ind w:left="32"/>
              <w:spacing w:after="0"/>
              <w:rPr>
                <w:sz w:val="20"/>
                <w:szCs w:val="20"/>
                <w:color w:val="auto"/>
              </w:rPr>
            </w:pPr>
            <w:r>
              <w:rPr>
                <w:rFonts w:ascii="Arial" w:cs="Arial" w:eastAsia="Arial" w:hAnsi="Arial"/>
                <w:sz w:val="10"/>
                <w:szCs w:val="10"/>
                <w:b w:val="1"/>
                <w:bCs w:val="1"/>
                <w:color w:val="auto"/>
                <w:w w:val="95"/>
              </w:rPr>
              <w:t>Adjusted EBITDA and Adjusted EBITDA Margin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gridSpan w:val="5"/>
          </w:tcPr>
          <w:p>
            <w:pPr>
              <w:jc w:val="center"/>
              <w:ind w:right="1080"/>
              <w:spacing w:after="0"/>
              <w:rPr>
                <w:sz w:val="20"/>
                <w:szCs w:val="20"/>
                <w:color w:val="auto"/>
              </w:rPr>
            </w:pPr>
            <w:r>
              <w:rPr>
                <w:rFonts w:ascii="Arial" w:cs="Arial" w:eastAsia="Arial" w:hAnsi="Arial"/>
                <w:sz w:val="10"/>
                <w:szCs w:val="10"/>
                <w:color w:val="auto"/>
                <w:w w:val="95"/>
              </w:rPr>
              <w:t>(Unaudited)</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Twelve Months Ended February 28, 2026 (52 Weeks)</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42"/>
        </w:trPr>
        <w:tc>
          <w:tcPr>
            <w:tcW w:w="25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Architectural Metals</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8"/>
              </w:rPr>
              <w:t>Architectural Services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Architectural Glass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Performance Surfaces</w:t>
            </w: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Corporate and Other</w:t>
            </w:r>
          </w:p>
        </w:tc>
        <w:tc>
          <w:tcPr>
            <w:tcW w:w="100" w:type="dxa"/>
            <w:vAlign w:val="bottom"/>
            <w:tcBorders>
              <w:bottom w:val="single" w:sz="8" w:color="DBDBDB"/>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Consolidated</w:t>
            </w:r>
          </w:p>
        </w:tc>
      </w:tr>
      <w:tr>
        <w:trPr>
          <w:trHeight w:val="147"/>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Net earnings (loss)</w:t>
            </w: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37,775</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12,193</w:t>
            </w:r>
          </w:p>
        </w:tc>
        <w:tc>
          <w:tcPr>
            <w:tcW w:w="320" w:type="dxa"/>
            <w:vAlign w:val="bottom"/>
            <w:gridSpan w:val="3"/>
            <w:shd w:val="clear" w:color="auto" w:fill="DBDBDB"/>
          </w:tcPr>
          <w:p>
            <w:pPr>
              <w:jc w:val="right"/>
              <w:ind w:right="80"/>
              <w:spacing w:after="0"/>
              <w:rPr>
                <w:sz w:val="20"/>
                <w:szCs w:val="20"/>
                <w:color w:val="auto"/>
              </w:rPr>
            </w:pPr>
            <w:r>
              <w:rPr>
                <w:rFonts w:ascii="Arial" w:cs="Arial" w:eastAsia="Arial" w:hAnsi="Arial"/>
                <w:sz w:val="10"/>
                <w:szCs w:val="10"/>
                <w:color w:val="auto"/>
              </w:rPr>
              <w:t>$</w:t>
            </w: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32,661</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24,659</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(53,157)</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54,131</w:t>
            </w:r>
          </w:p>
        </w:tc>
      </w:tr>
      <w:tr>
        <w:trPr>
          <w:trHeight w:val="146"/>
        </w:trPr>
        <w:tc>
          <w:tcPr>
            <w:tcW w:w="2620" w:type="dxa"/>
            <w:vAlign w:val="bottom"/>
            <w:gridSpan w:val="2"/>
          </w:tcPr>
          <w:p>
            <w:pPr>
              <w:spacing w:after="0"/>
              <w:rPr>
                <w:sz w:val="20"/>
                <w:szCs w:val="20"/>
                <w:color w:val="auto"/>
              </w:rPr>
            </w:pPr>
            <w:r>
              <w:rPr>
                <w:rFonts w:ascii="Arial" w:cs="Arial" w:eastAsia="Arial" w:hAnsi="Arial"/>
                <w:sz w:val="10"/>
                <w:szCs w:val="10"/>
                <w:color w:val="auto"/>
              </w:rPr>
              <w:t>Interest expense (income), net</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1,733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(699)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13,252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13,976</w:t>
            </w:r>
          </w:p>
        </w:tc>
      </w:tr>
      <w:tr>
        <w:trPr>
          <w:trHeight w:val="160"/>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Income tax (benefit) expense</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(43)</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23,081</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23,325</w:t>
            </w:r>
          </w:p>
        </w:tc>
      </w:tr>
      <w:tr>
        <w:trPr>
          <w:trHeight w:val="146"/>
        </w:trPr>
        <w:tc>
          <w:tcPr>
            <w:tcW w:w="2620" w:type="dxa"/>
            <w:vAlign w:val="bottom"/>
            <w:tcBorders>
              <w:bottom w:val="single" w:sz="8" w:color="DBDBDB"/>
            </w:tcBorders>
            <w:gridSpan w:val="2"/>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14,813</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3,593</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13,442</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15,153</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2,997</w:t>
            </w:r>
          </w:p>
        </w:tc>
        <w:tc>
          <w:tcPr>
            <w:tcW w:w="100" w:type="dxa"/>
            <w:vAlign w:val="bottom"/>
            <w:tcBorders>
              <w:bottom w:val="single" w:sz="8" w:color="DBDBDB"/>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49,998</w:t>
            </w:r>
          </w:p>
        </w:tc>
      </w:tr>
      <w:tr>
        <w:trPr>
          <w:trHeight w:val="149"/>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EBITDA</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54,278</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15,468</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45,699</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39,812</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(13,827)</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141,430</w:t>
            </w:r>
          </w:p>
        </w:tc>
      </w:tr>
      <w:tr>
        <w:trPr>
          <w:trHeight w:val="146"/>
        </w:trPr>
        <w:tc>
          <w:tcPr>
            <w:tcW w:w="2620" w:type="dxa"/>
            <w:vAlign w:val="bottom"/>
            <w:gridSpan w:val="2"/>
          </w:tcPr>
          <w:p>
            <w:pPr>
              <w:spacing w:after="0"/>
              <w:rPr>
                <w:sz w:val="20"/>
                <w:szCs w:val="20"/>
                <w:color w:val="auto"/>
              </w:rPr>
            </w:pPr>
            <w:r>
              <w:rPr>
                <w:rFonts w:ascii="Arial" w:cs="Arial" w:eastAsia="Arial" w:hAnsi="Arial"/>
                <w:sz w:val="10"/>
                <w:szCs w:val="10"/>
                <w:color w:val="auto"/>
              </w:rPr>
              <w:t xml:space="preserve">Acquisition-related costs </w:t>
            </w:r>
            <w:r>
              <w:rPr>
                <w:rFonts w:ascii="Arial" w:cs="Arial" w:eastAsia="Arial" w:hAnsi="Arial"/>
                <w:sz w:val="6"/>
                <w:szCs w:val="6"/>
                <w:color w:val="auto"/>
              </w:rPr>
              <w:t>(1)</w:t>
            </w:r>
          </w:p>
        </w:tc>
        <w:tc>
          <w:tcPr>
            <w:tcW w:w="14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1,831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313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2,144</w:t>
            </w:r>
          </w:p>
        </w:tc>
      </w:tr>
      <w:tr>
        <w:trPr>
          <w:trHeight w:val="161"/>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 xml:space="preserve">Restructuring costs </w:t>
            </w:r>
            <w:r>
              <w:rPr>
                <w:rFonts w:ascii="Arial" w:cs="Arial" w:eastAsia="Arial" w:hAnsi="Arial"/>
                <w:sz w:val="6"/>
                <w:szCs w:val="6"/>
                <w:color w:val="auto"/>
              </w:rPr>
              <w:t>(2)</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6,571</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15,388</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3"/>
                <w:szCs w:val="13"/>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5,484</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27,443</w:t>
            </w:r>
          </w:p>
        </w:tc>
      </w:tr>
      <w:tr>
        <w:trPr>
          <w:trHeight w:val="145"/>
        </w:trPr>
        <w:tc>
          <w:tcPr>
            <w:tcW w:w="2620" w:type="dxa"/>
            <w:vAlign w:val="bottom"/>
            <w:gridSpan w:val="2"/>
          </w:tcPr>
          <w:p>
            <w:pPr>
              <w:spacing w:after="0"/>
              <w:rPr>
                <w:sz w:val="20"/>
                <w:szCs w:val="20"/>
                <w:color w:val="auto"/>
              </w:rPr>
            </w:pPr>
            <w:r>
              <w:rPr>
                <w:rFonts w:ascii="Arial" w:cs="Arial" w:eastAsia="Arial" w:hAnsi="Arial"/>
                <w:sz w:val="10"/>
                <w:szCs w:val="10"/>
                <w:color w:val="auto"/>
              </w:rPr>
              <w:t xml:space="preserve">CEO transition costs </w:t>
            </w:r>
            <w:r>
              <w:rPr>
                <w:rFonts w:ascii="Arial" w:cs="Arial" w:eastAsia="Arial" w:hAnsi="Arial"/>
                <w:sz w:val="6"/>
                <w:szCs w:val="6"/>
                <w:color w:val="auto"/>
              </w:rPr>
              <w:t>(3)</w:t>
            </w:r>
          </w:p>
        </w:tc>
        <w:tc>
          <w:tcPr>
            <w:tcW w:w="14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3,026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3,026</w:t>
            </w:r>
          </w:p>
        </w:tc>
      </w:tr>
      <w:tr>
        <w:trPr>
          <w:trHeight w:val="153"/>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 xml:space="preserve">NMTC settlement gain </w:t>
            </w:r>
            <w:r>
              <w:rPr>
                <w:rFonts w:ascii="Arial" w:cs="Arial" w:eastAsia="Arial" w:hAnsi="Arial"/>
                <w:sz w:val="6"/>
                <w:szCs w:val="6"/>
                <w:color w:val="auto"/>
              </w:rPr>
              <w:t>(4)</w:t>
            </w:r>
          </w:p>
        </w:tc>
        <w:tc>
          <w:tcPr>
            <w:tcW w:w="140" w:type="dxa"/>
            <w:vAlign w:val="bottom"/>
            <w:tcBorders>
              <w:bottom w:val="single" w:sz="8" w:color="auto"/>
            </w:tcBorders>
            <w:shd w:val="clear" w:color="auto" w:fill="DBDBDB"/>
          </w:tcPr>
          <w:p>
            <w:pPr>
              <w:spacing w:after="0"/>
              <w:rPr>
                <w:sz w:val="13"/>
                <w:szCs w:val="13"/>
                <w:color w:val="auto"/>
              </w:rPr>
            </w:pPr>
          </w:p>
        </w:tc>
        <w:tc>
          <w:tcPr>
            <w:tcW w:w="12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(6,740)</w:t>
            </w:r>
          </w:p>
        </w:tc>
        <w:tc>
          <w:tcPr>
            <w:tcW w:w="100" w:type="dxa"/>
            <w:vAlign w:val="bottom"/>
            <w:shd w:val="clear" w:color="auto" w:fill="DBDBDB"/>
          </w:tcPr>
          <w:p>
            <w:pPr>
              <w:spacing w:after="0"/>
              <w:rPr>
                <w:sz w:val="13"/>
                <w:szCs w:val="13"/>
                <w:color w:val="auto"/>
              </w:rPr>
            </w:pPr>
          </w:p>
        </w:tc>
        <w:tc>
          <w:tcPr>
            <w:tcW w:w="120" w:type="dxa"/>
            <w:vAlign w:val="bottom"/>
            <w:tcBorders>
              <w:bottom w:val="single" w:sz="8" w:color="auto"/>
            </w:tcBorders>
            <w:shd w:val="clear" w:color="auto" w:fill="DBDBDB"/>
          </w:tcPr>
          <w:p>
            <w:pPr>
              <w:spacing w:after="0"/>
              <w:rPr>
                <w:sz w:val="13"/>
                <w:szCs w:val="13"/>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tcBorders>
              <w:bottom w:val="single" w:sz="8" w:color="auto"/>
            </w:tcBorders>
            <w:shd w:val="clear" w:color="auto" w:fill="DBDBDB"/>
          </w:tcPr>
          <w:p>
            <w:pPr>
              <w:spacing w:after="0"/>
              <w:rPr>
                <w:sz w:val="13"/>
                <w:szCs w:val="13"/>
                <w:color w:val="auto"/>
              </w:rPr>
            </w:pPr>
          </w:p>
        </w:tc>
        <w:tc>
          <w:tcPr>
            <w:tcW w:w="12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3"/>
                <w:szCs w:val="13"/>
                <w:color w:val="auto"/>
              </w:rPr>
            </w:pPr>
          </w:p>
        </w:tc>
        <w:tc>
          <w:tcPr>
            <w:tcW w:w="120" w:type="dxa"/>
            <w:vAlign w:val="bottom"/>
            <w:tcBorders>
              <w:bottom w:val="single" w:sz="8" w:color="auto"/>
            </w:tcBorders>
            <w:shd w:val="clear" w:color="auto" w:fill="DBDBDB"/>
          </w:tcPr>
          <w:p>
            <w:pPr>
              <w:spacing w:after="0"/>
              <w:rPr>
                <w:sz w:val="13"/>
                <w:szCs w:val="13"/>
                <w:color w:val="auto"/>
              </w:rPr>
            </w:pPr>
          </w:p>
        </w:tc>
        <w:tc>
          <w:tcPr>
            <w:tcW w:w="124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3"/>
                <w:szCs w:val="13"/>
                <w:color w:val="auto"/>
              </w:rPr>
            </w:pPr>
          </w:p>
        </w:tc>
        <w:tc>
          <w:tcPr>
            <w:tcW w:w="140" w:type="dxa"/>
            <w:vAlign w:val="bottom"/>
            <w:tcBorders>
              <w:bottom w:val="single" w:sz="8" w:color="auto"/>
            </w:tcBorders>
            <w:shd w:val="clear" w:color="auto" w:fill="DBDBDB"/>
          </w:tcPr>
          <w:p>
            <w:pPr>
              <w:spacing w:after="0"/>
              <w:rPr>
                <w:sz w:val="13"/>
                <w:szCs w:val="13"/>
                <w:color w:val="auto"/>
              </w:rPr>
            </w:pPr>
          </w:p>
        </w:tc>
        <w:tc>
          <w:tcPr>
            <w:tcW w:w="12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3"/>
                <w:szCs w:val="13"/>
                <w:color w:val="auto"/>
              </w:rPr>
            </w:pPr>
          </w:p>
        </w:tc>
        <w:tc>
          <w:tcPr>
            <w:tcW w:w="22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(6,740)</w:t>
            </w:r>
          </w:p>
        </w:tc>
      </w:tr>
      <w:tr>
        <w:trPr>
          <w:trHeight w:val="165"/>
        </w:trPr>
        <w:tc>
          <w:tcPr>
            <w:tcW w:w="2620" w:type="dxa"/>
            <w:vAlign w:val="bottom"/>
            <w:gridSpan w:val="2"/>
          </w:tcPr>
          <w:p>
            <w:pPr>
              <w:spacing w:after="0"/>
              <w:rPr>
                <w:sz w:val="20"/>
                <w:szCs w:val="20"/>
                <w:color w:val="auto"/>
              </w:rPr>
            </w:pPr>
            <w:r>
              <w:rPr>
                <w:rFonts w:ascii="Arial" w:cs="Arial" w:eastAsia="Arial" w:hAnsi="Arial"/>
                <w:sz w:val="10"/>
                <w:szCs w:val="10"/>
                <w:color w:val="auto"/>
              </w:rPr>
              <w:t>Adjusted EBITDA</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54,109</w:t>
            </w:r>
          </w:p>
        </w:tc>
        <w:tc>
          <w:tcPr>
            <w:tcW w:w="1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30,856</w:t>
            </w:r>
          </w:p>
        </w:tc>
        <w:tc>
          <w:tcPr>
            <w:tcW w:w="3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45,699</w:t>
            </w:r>
          </w:p>
        </w:tc>
        <w:tc>
          <w:tcPr>
            <w:tcW w:w="1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41,643</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(5,004)</w:t>
            </w:r>
          </w:p>
        </w:tc>
        <w:tc>
          <w:tcPr>
            <w:tcW w:w="100" w:type="dxa"/>
            <w:vAlign w:val="bottom"/>
          </w:tcPr>
          <w:p>
            <w:pPr>
              <w:spacing w:after="0"/>
              <w:rPr>
                <w:sz w:val="14"/>
                <w:szCs w:val="14"/>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167,303</w:t>
            </w:r>
          </w:p>
        </w:tc>
      </w:tr>
      <w:tr>
        <w:trPr>
          <w:trHeight w:val="126"/>
        </w:trPr>
        <w:tc>
          <w:tcPr>
            <w:tcW w:w="252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0" w:type="dxa"/>
            <w:vAlign w:val="bottom"/>
            <w:tcBorders>
              <w:top w:val="single" w:sz="8" w:color="auto"/>
            </w:tcBorders>
            <w:shd w:val="clear" w:color="auto" w:fill="DBDBDB"/>
          </w:tcPr>
          <w:p>
            <w:pPr>
              <w:spacing w:after="0"/>
              <w:rPr>
                <w:sz w:val="10"/>
                <w:szCs w:val="10"/>
                <w:color w:val="auto"/>
              </w:rPr>
            </w:pPr>
          </w:p>
        </w:tc>
        <w:tc>
          <w:tcPr>
            <w:tcW w:w="12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0" w:type="dxa"/>
            <w:vAlign w:val="bottom"/>
            <w:tcBorders>
              <w:top w:val="single" w:sz="8" w:color="auto"/>
            </w:tcBorders>
            <w:shd w:val="clear" w:color="auto" w:fill="DBDBDB"/>
          </w:tcPr>
          <w:p>
            <w:pPr>
              <w:spacing w:after="0"/>
              <w:rPr>
                <w:sz w:val="10"/>
                <w:szCs w:val="10"/>
                <w:color w:val="auto"/>
              </w:rPr>
            </w:pPr>
          </w:p>
        </w:tc>
        <w:tc>
          <w:tcPr>
            <w:tcW w:w="1160" w:type="dxa"/>
            <w:vAlign w:val="bottom"/>
            <w:tcBorders>
              <w:top w:val="single" w:sz="8" w:color="auto"/>
            </w:tcBorders>
            <w:shd w:val="clear" w:color="auto" w:fill="DBDBDB"/>
          </w:tcPr>
          <w:p>
            <w:pPr>
              <w:spacing w:after="0"/>
              <w:rPr>
                <w:sz w:val="10"/>
                <w:szCs w:val="10"/>
                <w:color w:val="auto"/>
              </w:rPr>
            </w:pPr>
          </w:p>
        </w:tc>
        <w:tc>
          <w:tcPr>
            <w:tcW w:w="6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60" w:type="dxa"/>
            <w:vAlign w:val="bottom"/>
            <w:tcBorders>
              <w:top w:val="single" w:sz="8" w:color="auto"/>
            </w:tcBorders>
            <w:shd w:val="clear" w:color="auto" w:fill="DBDBDB"/>
          </w:tcPr>
          <w:p>
            <w:pPr>
              <w:spacing w:after="0"/>
              <w:rPr>
                <w:sz w:val="10"/>
                <w:szCs w:val="10"/>
                <w:color w:val="auto"/>
              </w:rPr>
            </w:pPr>
          </w:p>
        </w:tc>
        <w:tc>
          <w:tcPr>
            <w:tcW w:w="12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0" w:type="dxa"/>
            <w:vAlign w:val="bottom"/>
            <w:tcBorders>
              <w:top w:val="single" w:sz="8" w:color="auto"/>
            </w:tcBorders>
            <w:shd w:val="clear" w:color="auto" w:fill="DBDBDB"/>
          </w:tcPr>
          <w:p>
            <w:pPr>
              <w:spacing w:after="0"/>
              <w:rPr>
                <w:sz w:val="10"/>
                <w:szCs w:val="10"/>
                <w:color w:val="auto"/>
              </w:rPr>
            </w:pPr>
          </w:p>
        </w:tc>
        <w:tc>
          <w:tcPr>
            <w:tcW w:w="124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0" w:type="dxa"/>
            <w:vAlign w:val="bottom"/>
            <w:tcBorders>
              <w:top w:val="single" w:sz="8" w:color="auto"/>
            </w:tcBorders>
            <w:shd w:val="clear" w:color="auto" w:fill="DBDBDB"/>
          </w:tcPr>
          <w:p>
            <w:pPr>
              <w:spacing w:after="0"/>
              <w:rPr>
                <w:sz w:val="10"/>
                <w:szCs w:val="10"/>
                <w:color w:val="auto"/>
              </w:rPr>
            </w:pPr>
          </w:p>
        </w:tc>
        <w:tc>
          <w:tcPr>
            <w:tcW w:w="12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20" w:type="dxa"/>
            <w:vAlign w:val="bottom"/>
            <w:tcBorders>
              <w:top w:val="single" w:sz="8" w:color="auto"/>
            </w:tcBorders>
            <w:shd w:val="clear" w:color="auto" w:fill="DBDBDB"/>
          </w:tcPr>
          <w:p>
            <w:pPr>
              <w:spacing w:after="0"/>
              <w:rPr>
                <w:sz w:val="10"/>
                <w:szCs w:val="10"/>
                <w:color w:val="auto"/>
              </w:rPr>
            </w:pPr>
          </w:p>
        </w:tc>
        <w:tc>
          <w:tcPr>
            <w:tcW w:w="1140" w:type="dxa"/>
            <w:vAlign w:val="bottom"/>
            <w:tcBorders>
              <w:top w:val="single" w:sz="8" w:color="auto"/>
            </w:tcBorders>
            <w:shd w:val="clear" w:color="auto" w:fill="DBDBDB"/>
          </w:tcPr>
          <w:p>
            <w:pPr>
              <w:spacing w:after="0"/>
              <w:rPr>
                <w:sz w:val="10"/>
                <w:szCs w:val="10"/>
                <w:color w:val="auto"/>
              </w:rPr>
            </w:pPr>
          </w:p>
        </w:tc>
      </w:tr>
      <w:tr>
        <w:trPr>
          <w:trHeight w:val="146"/>
        </w:trPr>
        <w:tc>
          <w:tcPr>
            <w:tcW w:w="2620" w:type="dxa"/>
            <w:vAlign w:val="bottom"/>
            <w:gridSpan w:val="2"/>
          </w:tcPr>
          <w:p>
            <w:pPr>
              <w:spacing w:after="0"/>
              <w:rPr>
                <w:sz w:val="20"/>
                <w:szCs w:val="20"/>
                <w:color w:val="auto"/>
              </w:rPr>
            </w:pPr>
            <w:r>
              <w:rPr>
                <w:rFonts w:ascii="Arial" w:cs="Arial" w:eastAsia="Arial" w:hAnsi="Arial"/>
                <w:sz w:val="10"/>
                <w:szCs w:val="10"/>
                <w:color w:val="auto"/>
              </w:rPr>
              <w:t>EBITDA margin</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16.1%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20.1%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940"/>
              <w:spacing w:after="0"/>
              <w:rPr>
                <w:sz w:val="20"/>
                <w:szCs w:val="20"/>
                <w:color w:val="auto"/>
              </w:rPr>
            </w:pPr>
            <w:r>
              <w:rPr>
                <w:rFonts w:ascii="Arial" w:cs="Arial" w:eastAsia="Arial" w:hAnsi="Arial"/>
                <w:sz w:val="10"/>
                <w:szCs w:val="10"/>
                <w:color w:val="auto"/>
              </w:rPr>
              <w:t>N/M</w:t>
            </w:r>
          </w:p>
        </w:tc>
        <w:tc>
          <w:tcPr>
            <w:tcW w:w="220" w:type="dxa"/>
            <w:vAlign w:val="bottom"/>
          </w:tcPr>
          <w:p>
            <w:pPr>
              <w:spacing w:after="0"/>
              <w:rPr>
                <w:sz w:val="12"/>
                <w:szCs w:val="12"/>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10.1%</w:t>
            </w:r>
          </w:p>
        </w:tc>
      </w:tr>
      <w:tr>
        <w:trPr>
          <w:trHeight w:val="161"/>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Adjusted EBITDA margin</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10.7%</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7.0%</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16.1%</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21.0%</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300" w:type="dxa"/>
            <w:vAlign w:val="bottom"/>
            <w:gridSpan w:val="2"/>
            <w:shd w:val="clear" w:color="auto" w:fill="DBDBDB"/>
          </w:tcPr>
          <w:p>
            <w:pPr>
              <w:ind w:left="940"/>
              <w:spacing w:after="0"/>
              <w:rPr>
                <w:sz w:val="20"/>
                <w:szCs w:val="20"/>
                <w:color w:val="auto"/>
              </w:rPr>
            </w:pPr>
            <w:r>
              <w:rPr>
                <w:rFonts w:ascii="Arial" w:cs="Arial" w:eastAsia="Arial" w:hAnsi="Arial"/>
                <w:sz w:val="10"/>
                <w:szCs w:val="10"/>
                <w:color w:val="auto"/>
              </w:rPr>
              <w:t>N/M</w:t>
            </w: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11.9%</w:t>
            </w:r>
          </w:p>
        </w:tc>
      </w:tr>
      <w:tr>
        <w:trPr>
          <w:trHeight w:val="30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Twelve Months Ended March 01, 2025 (52 Weeks)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42"/>
        </w:trPr>
        <w:tc>
          <w:tcPr>
            <w:tcW w:w="25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Architectural Metals</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8"/>
              </w:rPr>
              <w:t>Architectural Services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Architectural Glass</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Performance Surfaces</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Corporate and Other</w:t>
            </w:r>
          </w:p>
        </w:tc>
        <w:tc>
          <w:tcPr>
            <w:tcW w:w="100" w:type="dxa"/>
            <w:vAlign w:val="bottom"/>
            <w:tcBorders>
              <w:bottom w:val="single" w:sz="8" w:color="DBDBDB"/>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Consolidated</w:t>
            </w:r>
          </w:p>
        </w:tc>
      </w:tr>
      <w:tr>
        <w:trPr>
          <w:trHeight w:val="148"/>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Net earnings (loss)</w:t>
            </w: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40,345</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30,035</w:t>
            </w:r>
          </w:p>
        </w:tc>
        <w:tc>
          <w:tcPr>
            <w:tcW w:w="320" w:type="dxa"/>
            <w:vAlign w:val="bottom"/>
            <w:gridSpan w:val="3"/>
            <w:shd w:val="clear" w:color="auto" w:fill="DBDBDB"/>
          </w:tcPr>
          <w:p>
            <w:pPr>
              <w:jc w:val="right"/>
              <w:ind w:right="80"/>
              <w:spacing w:after="0"/>
              <w:rPr>
                <w:sz w:val="20"/>
                <w:szCs w:val="20"/>
                <w:color w:val="auto"/>
              </w:rPr>
            </w:pPr>
            <w:r>
              <w:rPr>
                <w:rFonts w:ascii="Arial" w:cs="Arial" w:eastAsia="Arial" w:hAnsi="Arial"/>
                <w:sz w:val="10"/>
                <w:szCs w:val="10"/>
                <w:color w:val="auto"/>
              </w:rPr>
              <w:t>$</w:t>
            </w: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60,451</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19,611</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(65,390)</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85,052</w:t>
            </w:r>
          </w:p>
        </w:tc>
      </w:tr>
      <w:tr>
        <w:trPr>
          <w:trHeight w:val="145"/>
        </w:trPr>
        <w:tc>
          <w:tcPr>
            <w:tcW w:w="2620" w:type="dxa"/>
            <w:vAlign w:val="bottom"/>
            <w:gridSpan w:val="2"/>
          </w:tcPr>
          <w:p>
            <w:pPr>
              <w:spacing w:after="0"/>
              <w:rPr>
                <w:sz w:val="20"/>
                <w:szCs w:val="20"/>
                <w:color w:val="auto"/>
              </w:rPr>
            </w:pPr>
            <w:r>
              <w:rPr>
                <w:rFonts w:ascii="Arial" w:cs="Arial" w:eastAsia="Arial" w:hAnsi="Arial"/>
                <w:sz w:val="10"/>
                <w:szCs w:val="10"/>
                <w:color w:val="auto"/>
              </w:rPr>
              <w:t>Interest expense (income), net</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2,113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(408)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4,444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6,159</w:t>
            </w:r>
          </w:p>
        </w:tc>
      </w:tr>
      <w:tr>
        <w:trPr>
          <w:trHeight w:val="161"/>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Income tax expense (benefit)</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7</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(653)</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28,168</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27,522</w:t>
            </w:r>
          </w:p>
        </w:tc>
      </w:tr>
      <w:tr>
        <w:trPr>
          <w:trHeight w:val="145"/>
        </w:trPr>
        <w:tc>
          <w:tcPr>
            <w:tcW w:w="2620" w:type="dxa"/>
            <w:vAlign w:val="bottom"/>
            <w:tcBorders>
              <w:bottom w:val="single" w:sz="8" w:color="DBDBDB"/>
            </w:tcBorders>
            <w:gridSpan w:val="2"/>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16,471</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3,978</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12,274</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9,086</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2,799</w:t>
            </w:r>
          </w:p>
        </w:tc>
        <w:tc>
          <w:tcPr>
            <w:tcW w:w="100" w:type="dxa"/>
            <w:vAlign w:val="bottom"/>
            <w:tcBorders>
              <w:bottom w:val="single" w:sz="8" w:color="DBDBDB"/>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44,608</w:t>
            </w:r>
          </w:p>
        </w:tc>
      </w:tr>
      <w:tr>
        <w:trPr>
          <w:trHeight w:val="150"/>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EBITDA</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58,936</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34,023</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71,664</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28,697</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(29,979)</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163,341</w:t>
            </w:r>
          </w:p>
        </w:tc>
      </w:tr>
      <w:tr>
        <w:trPr>
          <w:trHeight w:val="153"/>
        </w:trPr>
        <w:tc>
          <w:tcPr>
            <w:tcW w:w="2620" w:type="dxa"/>
            <w:vAlign w:val="bottom"/>
            <w:gridSpan w:val="2"/>
          </w:tcPr>
          <w:p>
            <w:pPr>
              <w:spacing w:after="0"/>
              <w:rPr>
                <w:sz w:val="20"/>
                <w:szCs w:val="20"/>
                <w:color w:val="auto"/>
              </w:rPr>
            </w:pPr>
            <w:r>
              <w:rPr>
                <w:rFonts w:ascii="Arial" w:cs="Arial" w:eastAsia="Arial" w:hAnsi="Arial"/>
                <w:sz w:val="10"/>
                <w:szCs w:val="10"/>
                <w:color w:val="auto"/>
              </w:rPr>
              <w:t xml:space="preserve">Acquisition-related costs </w:t>
            </w:r>
            <w:r>
              <w:rPr>
                <w:rFonts w:ascii="Arial" w:cs="Arial" w:eastAsia="Arial" w:hAnsi="Arial"/>
                <w:sz w:val="12"/>
                <w:szCs w:val="12"/>
                <w:color w:val="auto"/>
                <w:vertAlign w:val="superscript"/>
              </w:rPr>
              <w:t>(1)</w:t>
            </w:r>
          </w:p>
        </w:tc>
        <w:tc>
          <w:tcPr>
            <w:tcW w:w="14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2,189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5,773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7,962</w:t>
            </w:r>
          </w:p>
        </w:tc>
      </w:tr>
      <w:tr>
        <w:trPr>
          <w:trHeight w:val="153"/>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 xml:space="preserve">Restructuring costs </w:t>
            </w:r>
            <w:r>
              <w:rPr>
                <w:rFonts w:ascii="Arial" w:cs="Arial" w:eastAsia="Arial" w:hAnsi="Arial"/>
                <w:sz w:val="12"/>
                <w:szCs w:val="12"/>
                <w:color w:val="auto"/>
                <w:vertAlign w:val="superscript"/>
              </w:rPr>
              <w:t>(2)</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4,021</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(490)</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3"/>
                <w:szCs w:val="13"/>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792</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4,323</w:t>
            </w:r>
          </w:p>
        </w:tc>
      </w:tr>
      <w:tr>
        <w:trPr>
          <w:trHeight w:val="153"/>
        </w:trPr>
        <w:tc>
          <w:tcPr>
            <w:tcW w:w="2620" w:type="dxa"/>
            <w:vAlign w:val="bottom"/>
            <w:gridSpan w:val="2"/>
          </w:tcPr>
          <w:p>
            <w:pPr>
              <w:spacing w:after="0"/>
              <w:rPr>
                <w:sz w:val="20"/>
                <w:szCs w:val="20"/>
                <w:color w:val="auto"/>
              </w:rPr>
            </w:pPr>
            <w:r>
              <w:rPr>
                <w:rFonts w:ascii="Arial" w:cs="Arial" w:eastAsia="Arial" w:hAnsi="Arial"/>
                <w:sz w:val="10"/>
                <w:szCs w:val="10"/>
                <w:color w:val="auto"/>
              </w:rPr>
              <w:t xml:space="preserve">Impairment expense </w:t>
            </w:r>
            <w:r>
              <w:rPr>
                <w:rFonts w:ascii="Arial" w:cs="Arial" w:eastAsia="Arial" w:hAnsi="Arial"/>
                <w:sz w:val="12"/>
                <w:szCs w:val="12"/>
                <w:color w:val="auto"/>
                <w:vertAlign w:val="superscript"/>
              </w:rPr>
              <w:t>(5)</w:t>
            </w:r>
          </w:p>
        </w:tc>
        <w:tc>
          <w:tcPr>
            <w:tcW w:w="140" w:type="dxa"/>
            <w:vAlign w:val="bottom"/>
          </w:tcPr>
          <w:p>
            <w:pPr>
              <w:spacing w:after="0"/>
              <w:rPr>
                <w:sz w:val="13"/>
                <w:szCs w:val="13"/>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7,634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7,634</w:t>
            </w:r>
          </w:p>
        </w:tc>
      </w:tr>
      <w:tr>
        <w:trPr>
          <w:trHeight w:val="153"/>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 xml:space="preserve">Arbitration award expense </w:t>
            </w:r>
            <w:r>
              <w:rPr>
                <w:rFonts w:ascii="Arial" w:cs="Arial" w:eastAsia="Arial" w:hAnsi="Arial"/>
                <w:sz w:val="12"/>
                <w:szCs w:val="12"/>
                <w:color w:val="auto"/>
                <w:vertAlign w:val="superscript"/>
              </w:rPr>
              <w:t>(6)</w:t>
            </w:r>
          </w:p>
        </w:tc>
        <w:tc>
          <w:tcPr>
            <w:tcW w:w="140" w:type="dxa"/>
            <w:vAlign w:val="bottom"/>
            <w:shd w:val="clear" w:color="auto" w:fill="DBDBDB"/>
          </w:tcPr>
          <w:p>
            <w:pPr>
              <w:spacing w:after="0"/>
              <w:rPr>
                <w:sz w:val="13"/>
                <w:szCs w:val="13"/>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3"/>
                <w:szCs w:val="13"/>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9,393</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9,393</w:t>
            </w:r>
          </w:p>
        </w:tc>
      </w:tr>
      <w:tr>
        <w:trPr>
          <w:trHeight w:val="158"/>
        </w:trPr>
        <w:tc>
          <w:tcPr>
            <w:tcW w:w="2620" w:type="dxa"/>
            <w:vAlign w:val="bottom"/>
            <w:tcBorders>
              <w:bottom w:val="single" w:sz="8" w:color="DBDBDB"/>
            </w:tcBorders>
            <w:gridSpan w:val="2"/>
          </w:tcPr>
          <w:p>
            <w:pPr>
              <w:spacing w:after="0"/>
              <w:rPr>
                <w:sz w:val="20"/>
                <w:szCs w:val="20"/>
                <w:color w:val="auto"/>
              </w:rPr>
            </w:pPr>
            <w:r>
              <w:rPr>
                <w:rFonts w:ascii="Arial" w:cs="Arial" w:eastAsia="Arial" w:hAnsi="Arial"/>
                <w:sz w:val="10"/>
                <w:szCs w:val="10"/>
                <w:color w:val="auto"/>
              </w:rPr>
              <w:t>Adjusted EBITDA</w:t>
            </w: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$70,591</w:t>
            </w:r>
          </w:p>
        </w:tc>
        <w:tc>
          <w:tcPr>
            <w:tcW w:w="100" w:type="dxa"/>
            <w:vAlign w:val="bottom"/>
            <w:tcBorders>
              <w:bottom w:val="single" w:sz="8" w:color="DBDBDB"/>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$33,533</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$71,664</w:t>
            </w:r>
          </w:p>
        </w:tc>
        <w:tc>
          <w:tcPr>
            <w:tcW w:w="100" w:type="dxa"/>
            <w:vAlign w:val="bottom"/>
            <w:tcBorders>
              <w:bottom w:val="single" w:sz="8" w:color="DBDBDB"/>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30,886</w:t>
            </w:r>
          </w:p>
        </w:tc>
        <w:tc>
          <w:tcPr>
            <w:tcW w:w="100" w:type="dxa"/>
            <w:vAlign w:val="bottom"/>
            <w:tcBorders>
              <w:bottom w:val="single" w:sz="8" w:color="DBDBDB"/>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(14,021)</w:t>
            </w:r>
          </w:p>
        </w:tc>
        <w:tc>
          <w:tcPr>
            <w:tcW w:w="1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$192,653</w:t>
            </w:r>
          </w:p>
        </w:tc>
      </w:tr>
      <w:tr>
        <w:trPr>
          <w:trHeight w:val="126"/>
        </w:trPr>
        <w:tc>
          <w:tcPr>
            <w:tcW w:w="25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12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16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12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12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1140" w:type="dxa"/>
            <w:vAlign w:val="bottom"/>
            <w:shd w:val="clear" w:color="auto" w:fill="DBDBDB"/>
          </w:tcPr>
          <w:p>
            <w:pPr>
              <w:spacing w:after="0"/>
              <w:rPr>
                <w:sz w:val="10"/>
                <w:szCs w:val="10"/>
                <w:color w:val="auto"/>
              </w:rPr>
            </w:pPr>
          </w:p>
        </w:tc>
      </w:tr>
      <w:tr>
        <w:trPr>
          <w:trHeight w:val="145"/>
        </w:trPr>
        <w:tc>
          <w:tcPr>
            <w:tcW w:w="2620" w:type="dxa"/>
            <w:vAlign w:val="bottom"/>
            <w:gridSpan w:val="2"/>
          </w:tcPr>
          <w:p>
            <w:pPr>
              <w:spacing w:after="0"/>
              <w:rPr>
                <w:sz w:val="20"/>
                <w:szCs w:val="20"/>
                <w:color w:val="auto"/>
              </w:rPr>
            </w:pPr>
            <w:r>
              <w:rPr>
                <w:rFonts w:ascii="Arial" w:cs="Arial" w:eastAsia="Arial" w:hAnsi="Arial"/>
                <w:sz w:val="10"/>
                <w:szCs w:val="10"/>
                <w:color w:val="auto"/>
              </w:rPr>
              <w:t>EBITDA margin</w:t>
            </w:r>
          </w:p>
        </w:tc>
        <w:tc>
          <w:tcPr>
            <w:tcW w:w="14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11.2%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23.5%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940"/>
              <w:spacing w:after="0"/>
              <w:rPr>
                <w:sz w:val="20"/>
                <w:szCs w:val="20"/>
                <w:color w:val="auto"/>
              </w:rPr>
            </w:pPr>
            <w:r>
              <w:rPr>
                <w:rFonts w:ascii="Arial" w:cs="Arial" w:eastAsia="Arial" w:hAnsi="Arial"/>
                <w:sz w:val="10"/>
                <w:szCs w:val="10"/>
                <w:color w:val="auto"/>
              </w:rPr>
              <w:t>N/M</w:t>
            </w:r>
          </w:p>
        </w:tc>
        <w:tc>
          <w:tcPr>
            <w:tcW w:w="220" w:type="dxa"/>
            <w:vAlign w:val="bottom"/>
          </w:tcPr>
          <w:p>
            <w:pPr>
              <w:spacing w:after="0"/>
              <w:rPr>
                <w:sz w:val="12"/>
                <w:szCs w:val="12"/>
                <w:color w:val="auto"/>
              </w:rPr>
            </w:pPr>
          </w:p>
        </w:tc>
        <w:tc>
          <w:tcPr>
            <w:tcW w:w="1140" w:type="dxa"/>
            <w:vAlign w:val="bottom"/>
          </w:tcPr>
          <w:p>
            <w:pPr>
              <w:jc w:val="right"/>
              <w:ind w:right="32"/>
              <w:spacing w:after="0"/>
              <w:rPr>
                <w:sz w:val="20"/>
                <w:szCs w:val="20"/>
                <w:color w:val="auto"/>
              </w:rPr>
            </w:pPr>
            <w:r>
              <w:rPr>
                <w:rFonts w:ascii="Arial" w:cs="Arial" w:eastAsia="Arial" w:hAnsi="Arial"/>
                <w:sz w:val="10"/>
                <w:szCs w:val="10"/>
                <w:color w:val="auto"/>
              </w:rPr>
              <w:t>12.0%</w:t>
            </w:r>
          </w:p>
        </w:tc>
      </w:tr>
      <w:tr>
        <w:trPr>
          <w:trHeight w:val="160"/>
        </w:trPr>
        <w:tc>
          <w:tcPr>
            <w:tcW w:w="26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Adjusted EBITDA margin</w:t>
            </w:r>
          </w:p>
        </w:tc>
        <w:tc>
          <w:tcPr>
            <w:tcW w:w="1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13.5%</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8.0%</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22.2%</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25.3%</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300" w:type="dxa"/>
            <w:vAlign w:val="bottom"/>
            <w:gridSpan w:val="2"/>
            <w:shd w:val="clear" w:color="auto" w:fill="DBDBDB"/>
          </w:tcPr>
          <w:p>
            <w:pPr>
              <w:ind w:left="940"/>
              <w:spacing w:after="0"/>
              <w:rPr>
                <w:sz w:val="20"/>
                <w:szCs w:val="20"/>
                <w:color w:val="auto"/>
              </w:rPr>
            </w:pPr>
            <w:r>
              <w:rPr>
                <w:rFonts w:ascii="Arial" w:cs="Arial" w:eastAsia="Arial" w:hAnsi="Arial"/>
                <w:sz w:val="10"/>
                <w:szCs w:val="10"/>
                <w:color w:val="auto"/>
              </w:rPr>
              <w:t>N/M</w:t>
            </w:r>
          </w:p>
        </w:tc>
        <w:tc>
          <w:tcPr>
            <w:tcW w:w="22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14.2%</w:t>
            </w:r>
          </w:p>
        </w:tc>
      </w:tr>
    </w:tbl>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Twelve Months Ended March 02, 2024 (53 Weeks)</w:t>
            </w: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42"/>
        </w:trPr>
        <w:tc>
          <w:tcPr>
            <w:tcW w:w="24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Architectural Metals</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Architectural Services</w:t>
            </w: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Architectural Glass</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Performance Surfaces</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Corporate and Other</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Consolidated</w:t>
            </w:r>
          </w:p>
        </w:tc>
      </w:tr>
      <w:tr>
        <w:trPr>
          <w:trHeight w:val="147"/>
        </w:trPr>
        <w:tc>
          <w:tcPr>
            <w:tcW w:w="250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Net earnings (loss)</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61,252</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10,782</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70,495</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23,082</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(65,998)</w:t>
            </w: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99,613</w:t>
            </w:r>
          </w:p>
        </w:tc>
      </w:tr>
      <w:tr>
        <w:trPr>
          <w:trHeight w:val="146"/>
        </w:trPr>
        <w:tc>
          <w:tcPr>
            <w:tcW w:w="2500" w:type="dxa"/>
            <w:vAlign w:val="bottom"/>
            <w:gridSpan w:val="2"/>
          </w:tcPr>
          <w:p>
            <w:pPr>
              <w:spacing w:after="0"/>
              <w:rPr>
                <w:sz w:val="20"/>
                <w:szCs w:val="20"/>
                <w:color w:val="auto"/>
              </w:rPr>
            </w:pPr>
            <w:r>
              <w:rPr>
                <w:rFonts w:ascii="Arial" w:cs="Arial" w:eastAsia="Arial" w:hAnsi="Arial"/>
                <w:sz w:val="10"/>
                <w:szCs w:val="10"/>
                <w:color w:val="auto"/>
              </w:rPr>
              <w:t>Interest expense (income), net</w:t>
            </w:r>
          </w:p>
        </w:tc>
        <w:tc>
          <w:tcPr>
            <w:tcW w:w="160" w:type="dxa"/>
            <w:vAlign w:val="bottom"/>
          </w:tcPr>
          <w:p>
            <w:pPr>
              <w:spacing w:after="0"/>
              <w:rPr>
                <w:sz w:val="12"/>
                <w:szCs w:val="12"/>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3,578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92"/>
              <w:spacing w:after="0"/>
              <w:rPr>
                <w:sz w:val="20"/>
                <w:szCs w:val="20"/>
                <w:color w:val="auto"/>
              </w:rPr>
            </w:pPr>
            <w:r>
              <w:rPr>
                <w:rFonts w:ascii="Arial" w:cs="Arial" w:eastAsia="Arial" w:hAnsi="Arial"/>
                <w:sz w:val="10"/>
                <w:szCs w:val="10"/>
                <w:color w:val="auto"/>
              </w:rPr>
              <w:t>1,058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(377)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1,151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1,259</w:t>
            </w:r>
          </w:p>
        </w:tc>
        <w:tc>
          <w:tcPr>
            <w:tcW w:w="8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6,669</w:t>
            </w:r>
          </w:p>
        </w:tc>
      </w:tr>
      <w:tr>
        <w:trPr>
          <w:trHeight w:val="160"/>
        </w:trPr>
        <w:tc>
          <w:tcPr>
            <w:tcW w:w="250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Income tax expense (benefit)</w:t>
            </w: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3</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60" w:type="dxa"/>
            <w:vAlign w:val="bottom"/>
            <w:gridSpan w:val="2"/>
            <w:shd w:val="clear" w:color="auto" w:fill="DBDBDB"/>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352</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60" w:type="dxa"/>
            <w:vAlign w:val="bottom"/>
            <w:gridSpan w:val="2"/>
            <w:shd w:val="clear" w:color="auto" w:fill="DBDBDB"/>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29,285</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29,640</w:t>
            </w:r>
          </w:p>
        </w:tc>
      </w:tr>
      <w:tr>
        <w:trPr>
          <w:trHeight w:val="146"/>
        </w:trPr>
        <w:tc>
          <w:tcPr>
            <w:tcW w:w="2500" w:type="dxa"/>
            <w:vAlign w:val="bottom"/>
            <w:tcBorders>
              <w:bottom w:val="single" w:sz="8" w:color="DBDBDB"/>
            </w:tcBorders>
            <w:gridSpan w:val="2"/>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19,226</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4,011</w:t>
            </w: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11,955</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3,040</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3,356</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41,588</w:t>
            </w:r>
          </w:p>
        </w:tc>
      </w:tr>
      <w:tr>
        <w:trPr>
          <w:trHeight w:val="149"/>
        </w:trPr>
        <w:tc>
          <w:tcPr>
            <w:tcW w:w="250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EBITDA</w:t>
            </w: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84,059</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8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15,851</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82,425</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27,273</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(32,098)</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177,510</w:t>
            </w:r>
          </w:p>
        </w:tc>
      </w:tr>
      <w:tr>
        <w:trPr>
          <w:trHeight w:val="153"/>
        </w:trPr>
        <w:tc>
          <w:tcPr>
            <w:tcW w:w="2500" w:type="dxa"/>
            <w:vAlign w:val="bottom"/>
            <w:gridSpan w:val="2"/>
          </w:tcPr>
          <w:p>
            <w:pPr>
              <w:spacing w:after="0"/>
              <w:rPr>
                <w:sz w:val="20"/>
                <w:szCs w:val="20"/>
                <w:color w:val="auto"/>
              </w:rPr>
            </w:pPr>
            <w:r>
              <w:rPr>
                <w:rFonts w:ascii="Arial" w:cs="Arial" w:eastAsia="Arial" w:hAnsi="Arial"/>
                <w:sz w:val="10"/>
                <w:szCs w:val="10"/>
                <w:color w:val="auto"/>
              </w:rPr>
              <w:t xml:space="preserve">Restructuring costs </w:t>
            </w:r>
            <w:r>
              <w:rPr>
                <w:rFonts w:ascii="Arial" w:cs="Arial" w:eastAsia="Arial" w:hAnsi="Arial"/>
                <w:sz w:val="12"/>
                <w:szCs w:val="12"/>
                <w:color w:val="auto"/>
                <w:vertAlign w:val="superscript"/>
              </w:rPr>
              <w:t>(2)</w:t>
            </w:r>
          </w:p>
        </w:tc>
        <w:tc>
          <w:tcPr>
            <w:tcW w:w="160" w:type="dxa"/>
            <w:vAlign w:val="bottom"/>
          </w:tcPr>
          <w:p>
            <w:pPr>
              <w:spacing w:after="0"/>
              <w:rPr>
                <w:sz w:val="13"/>
                <w:szCs w:val="13"/>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5,970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92"/>
              <w:spacing w:after="0"/>
              <w:rPr>
                <w:sz w:val="20"/>
                <w:szCs w:val="20"/>
                <w:color w:val="auto"/>
              </w:rPr>
            </w:pPr>
            <w:r>
              <w:rPr>
                <w:rFonts w:ascii="Arial" w:cs="Arial" w:eastAsia="Arial" w:hAnsi="Arial"/>
                <w:sz w:val="10"/>
                <w:szCs w:val="10"/>
                <w:color w:val="auto"/>
              </w:rPr>
              <w:t>2,526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3,907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12,403</w:t>
            </w:r>
          </w:p>
        </w:tc>
      </w:tr>
      <w:tr>
        <w:trPr>
          <w:trHeight w:val="153"/>
        </w:trPr>
        <w:tc>
          <w:tcPr>
            <w:tcW w:w="250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 xml:space="preserve">NMTC settlement gain </w:t>
            </w:r>
            <w:r>
              <w:rPr>
                <w:rFonts w:ascii="Arial" w:cs="Arial" w:eastAsia="Arial" w:hAnsi="Arial"/>
                <w:sz w:val="12"/>
                <w:szCs w:val="12"/>
                <w:color w:val="auto"/>
                <w:vertAlign w:val="superscript"/>
              </w:rPr>
              <w:t>(4)</w:t>
            </w:r>
          </w:p>
        </w:tc>
        <w:tc>
          <w:tcPr>
            <w:tcW w:w="160" w:type="dxa"/>
            <w:vAlign w:val="bottom"/>
            <w:shd w:val="clear" w:color="auto" w:fill="DBDBDB"/>
          </w:tcPr>
          <w:p>
            <w:pPr>
              <w:spacing w:after="0"/>
              <w:rPr>
                <w:sz w:val="13"/>
                <w:szCs w:val="13"/>
                <w:color w:val="auto"/>
              </w:rPr>
            </w:pP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3"/>
                <w:szCs w:val="13"/>
                <w:color w:val="auto"/>
              </w:rPr>
            </w:pPr>
          </w:p>
        </w:tc>
        <w:tc>
          <w:tcPr>
            <w:tcW w:w="1360" w:type="dxa"/>
            <w:vAlign w:val="bottom"/>
            <w:gridSpan w:val="2"/>
            <w:shd w:val="clear" w:color="auto" w:fill="DBDBDB"/>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(4,687)</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60" w:type="dxa"/>
            <w:vAlign w:val="bottom"/>
            <w:gridSpan w:val="2"/>
            <w:shd w:val="clear" w:color="auto" w:fill="DBDBDB"/>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3"/>
                <w:szCs w:val="13"/>
                <w:color w:val="auto"/>
              </w:rPr>
            </w:pPr>
          </w:p>
        </w:tc>
        <w:tc>
          <w:tcPr>
            <w:tcW w:w="1260" w:type="dxa"/>
            <w:vAlign w:val="bottom"/>
            <w:gridSpan w:val="2"/>
            <w:shd w:val="clear" w:color="auto" w:fill="DBDBDB"/>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(4,687)</w:t>
            </w:r>
          </w:p>
        </w:tc>
      </w:tr>
      <w:tr>
        <w:trPr>
          <w:trHeight w:val="158"/>
        </w:trPr>
        <w:tc>
          <w:tcPr>
            <w:tcW w:w="2500" w:type="dxa"/>
            <w:vAlign w:val="bottom"/>
            <w:tcBorders>
              <w:bottom w:val="single" w:sz="8" w:color="DBDBDB"/>
            </w:tcBorders>
            <w:gridSpan w:val="2"/>
          </w:tcPr>
          <w:p>
            <w:pPr>
              <w:spacing w:after="0"/>
              <w:rPr>
                <w:sz w:val="20"/>
                <w:szCs w:val="20"/>
                <w:color w:val="auto"/>
              </w:rPr>
            </w:pPr>
            <w:r>
              <w:rPr>
                <w:rFonts w:ascii="Arial" w:cs="Arial" w:eastAsia="Arial" w:hAnsi="Arial"/>
                <w:sz w:val="10"/>
                <w:szCs w:val="10"/>
                <w:color w:val="auto"/>
              </w:rPr>
              <w:t>Adjusted EBITDA</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90,029</w:t>
            </w:r>
          </w:p>
        </w:tc>
        <w:tc>
          <w:tcPr>
            <w:tcW w:w="80" w:type="dxa"/>
            <w:vAlign w:val="bottom"/>
            <w:tcBorders>
              <w:bottom w:val="single" w:sz="8" w:color="DBDBDB"/>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18,377</w:t>
            </w:r>
          </w:p>
        </w:tc>
        <w:tc>
          <w:tcPr>
            <w:tcW w:w="80" w:type="dxa"/>
            <w:vAlign w:val="bottom"/>
            <w:tcBorders>
              <w:bottom w:val="single" w:sz="8" w:color="DBDBDB"/>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77,738</w:t>
            </w:r>
          </w:p>
        </w:tc>
        <w:tc>
          <w:tcPr>
            <w:tcW w:w="80" w:type="dxa"/>
            <w:vAlign w:val="bottom"/>
            <w:tcBorders>
              <w:bottom w:val="single" w:sz="8" w:color="DBDBDB"/>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27,273</w:t>
            </w:r>
          </w:p>
        </w:tc>
        <w:tc>
          <w:tcPr>
            <w:tcW w:w="80" w:type="dxa"/>
            <w:vAlign w:val="bottom"/>
            <w:tcBorders>
              <w:bottom w:val="single" w:sz="8" w:color="DBDBDB"/>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(28,191)</w:t>
            </w:r>
          </w:p>
        </w:tc>
        <w:tc>
          <w:tcPr>
            <w:tcW w:w="80" w:type="dxa"/>
            <w:vAlign w:val="bottom"/>
            <w:tcBorders>
              <w:bottom w:val="single" w:sz="8" w:color="DBDBDB"/>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185,226</w:t>
            </w:r>
          </w:p>
        </w:tc>
      </w:tr>
      <w:tr>
        <w:trPr>
          <w:trHeight w:val="126"/>
        </w:trPr>
        <w:tc>
          <w:tcPr>
            <w:tcW w:w="24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40" w:type="dxa"/>
            <w:vAlign w:val="bottom"/>
            <w:shd w:val="clear" w:color="auto" w:fill="DBDBDB"/>
          </w:tcPr>
          <w:p>
            <w:pPr>
              <w:spacing w:after="0"/>
              <w:rPr>
                <w:sz w:val="10"/>
                <w:szCs w:val="10"/>
                <w:color w:val="auto"/>
              </w:rPr>
            </w:pPr>
          </w:p>
        </w:tc>
        <w:tc>
          <w:tcPr>
            <w:tcW w:w="1160" w:type="dxa"/>
            <w:vAlign w:val="bottom"/>
            <w:shd w:val="clear" w:color="auto" w:fill="DBDBDB"/>
          </w:tcPr>
          <w:p>
            <w:pPr>
              <w:spacing w:after="0"/>
              <w:rPr>
                <w:sz w:val="10"/>
                <w:szCs w:val="10"/>
                <w:color w:val="auto"/>
              </w:rPr>
            </w:pPr>
          </w:p>
        </w:tc>
      </w:tr>
      <w:tr>
        <w:trPr>
          <w:trHeight w:val="146"/>
        </w:trPr>
        <w:tc>
          <w:tcPr>
            <w:tcW w:w="2500" w:type="dxa"/>
            <w:vAlign w:val="bottom"/>
            <w:gridSpan w:val="2"/>
          </w:tcPr>
          <w:p>
            <w:pPr>
              <w:spacing w:after="0"/>
              <w:rPr>
                <w:sz w:val="20"/>
                <w:szCs w:val="20"/>
                <w:color w:val="auto"/>
              </w:rPr>
            </w:pPr>
            <w:r>
              <w:rPr>
                <w:rFonts w:ascii="Arial" w:cs="Arial" w:eastAsia="Arial" w:hAnsi="Arial"/>
                <w:sz w:val="10"/>
                <w:szCs w:val="10"/>
                <w:color w:val="auto"/>
              </w:rPr>
              <w:t>EBITDA margin</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14.0 %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4.2 %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21.8 %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27.5 %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1000"/>
              <w:spacing w:after="0"/>
              <w:rPr>
                <w:sz w:val="20"/>
                <w:szCs w:val="20"/>
                <w:color w:val="auto"/>
              </w:rPr>
            </w:pPr>
            <w:r>
              <w:rPr>
                <w:rFonts w:ascii="Arial" w:cs="Arial" w:eastAsia="Arial" w:hAnsi="Arial"/>
                <w:sz w:val="10"/>
                <w:szCs w:val="10"/>
                <w:color w:val="auto"/>
              </w:rPr>
              <w:t>N/M</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12.5 %</w:t>
            </w:r>
          </w:p>
        </w:tc>
      </w:tr>
      <w:tr>
        <w:trPr>
          <w:trHeight w:val="160"/>
        </w:trPr>
        <w:tc>
          <w:tcPr>
            <w:tcW w:w="250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Adjusted EBITDA margin</w:t>
            </w: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15.0 %</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4.9 %</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20.5 %</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27.5 %</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gridSpan w:val="2"/>
            <w:shd w:val="clear" w:color="auto" w:fill="DBDBDB"/>
          </w:tcPr>
          <w:p>
            <w:pPr>
              <w:ind w:left="1000"/>
              <w:spacing w:after="0"/>
              <w:rPr>
                <w:sz w:val="20"/>
                <w:szCs w:val="20"/>
                <w:color w:val="auto"/>
              </w:rPr>
            </w:pPr>
            <w:r>
              <w:rPr>
                <w:rFonts w:ascii="Arial" w:cs="Arial" w:eastAsia="Arial" w:hAnsi="Arial"/>
                <w:sz w:val="10"/>
                <w:szCs w:val="10"/>
                <w:color w:val="auto"/>
              </w:rPr>
              <w:t>N/M</w:t>
            </w:r>
          </w:p>
        </w:tc>
        <w:tc>
          <w:tcPr>
            <w:tcW w:w="240" w:type="dxa"/>
            <w:vAlign w:val="bottom"/>
            <w:shd w:val="clear" w:color="auto" w:fill="DBDBDB"/>
          </w:tcPr>
          <w:p>
            <w:pPr>
              <w:spacing w:after="0"/>
              <w:rPr>
                <w:sz w:val="13"/>
                <w:szCs w:val="13"/>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13.1 %</w:t>
            </w:r>
          </w:p>
        </w:tc>
      </w:tr>
    </w:tbl>
    <w:p>
      <w:pPr>
        <w:spacing w:after="0" w:line="159" w:lineRule="exact"/>
        <w:rPr>
          <w:sz w:val="20"/>
          <w:szCs w:val="20"/>
          <w:color w:val="auto"/>
        </w:rPr>
      </w:pPr>
    </w:p>
    <w:p>
      <w:pPr>
        <w:ind w:left="460" w:hanging="290"/>
        <w:spacing w:after="0"/>
        <w:tabs>
          <w:tab w:leader="none" w:pos="460" w:val="left"/>
        </w:tabs>
        <w:numPr>
          <w:ilvl w:val="0"/>
          <w:numId w:val="86"/>
        </w:numPr>
        <w:rPr>
          <w:rFonts w:ascii="Arial" w:cs="Arial" w:eastAsia="Arial" w:hAnsi="Arial"/>
          <w:sz w:val="8"/>
          <w:szCs w:val="8"/>
          <w:color w:val="auto"/>
        </w:rPr>
      </w:pPr>
      <w:r>
        <w:rPr>
          <w:rFonts w:ascii="Arial" w:cs="Arial" w:eastAsia="Arial" w:hAnsi="Arial"/>
          <w:sz w:val="8"/>
          <w:szCs w:val="8"/>
          <w:color w:val="auto"/>
        </w:rPr>
        <w:t>Acquisition-related costs include one-time expenses incurred to integrate the UW Solutions acquisition. In fiscal year 2025, it excludes $2.3 million of backlog amortization added back as part of depreciation and amortization above.</w:t>
      </w:r>
    </w:p>
    <w:p>
      <w:pPr>
        <w:spacing w:after="0" w:line="43" w:lineRule="exact"/>
        <w:rPr>
          <w:rFonts w:ascii="Arial" w:cs="Arial" w:eastAsia="Arial" w:hAnsi="Arial"/>
          <w:sz w:val="8"/>
          <w:szCs w:val="8"/>
          <w:color w:val="auto"/>
        </w:rPr>
      </w:pPr>
    </w:p>
    <w:p>
      <w:pPr>
        <w:ind w:left="460" w:hanging="290"/>
        <w:spacing w:after="0"/>
        <w:tabs>
          <w:tab w:leader="none" w:pos="460" w:val="left"/>
        </w:tabs>
        <w:numPr>
          <w:ilvl w:val="0"/>
          <w:numId w:val="86"/>
        </w:numPr>
        <w:rPr>
          <w:rFonts w:ascii="Arial" w:cs="Arial" w:eastAsia="Arial" w:hAnsi="Arial"/>
          <w:sz w:val="8"/>
          <w:szCs w:val="8"/>
          <w:color w:val="auto"/>
        </w:rPr>
      </w:pPr>
      <w:r>
        <w:rPr>
          <w:rFonts w:ascii="Arial" w:cs="Arial" w:eastAsia="Arial" w:hAnsi="Arial"/>
          <w:sz w:val="8"/>
          <w:szCs w:val="8"/>
          <w:color w:val="auto"/>
        </w:rPr>
        <w:t>Restructuring costs related to Project Fortify. Costs incurred in fiscal year 2024 and 2025 were associated with Phase 1 and costs incurred in fiscal year 2026 are associated with Phase 2, including $11.5 million of asset impairment charges in fiscal 2026.</w:t>
      </w:r>
    </w:p>
    <w:p>
      <w:pPr>
        <w:spacing w:after="0" w:line="43" w:lineRule="exact"/>
        <w:rPr>
          <w:rFonts w:ascii="Arial" w:cs="Arial" w:eastAsia="Arial" w:hAnsi="Arial"/>
          <w:sz w:val="8"/>
          <w:szCs w:val="8"/>
          <w:color w:val="auto"/>
        </w:rPr>
      </w:pPr>
    </w:p>
    <w:p>
      <w:pPr>
        <w:ind w:left="460" w:hanging="290"/>
        <w:spacing w:after="0"/>
        <w:tabs>
          <w:tab w:leader="none" w:pos="460" w:val="left"/>
        </w:tabs>
        <w:numPr>
          <w:ilvl w:val="0"/>
          <w:numId w:val="86"/>
        </w:numPr>
        <w:rPr>
          <w:rFonts w:ascii="Arial" w:cs="Arial" w:eastAsia="Arial" w:hAnsi="Arial"/>
          <w:sz w:val="8"/>
          <w:szCs w:val="8"/>
          <w:color w:val="auto"/>
        </w:rPr>
      </w:pPr>
      <w:r>
        <w:rPr>
          <w:rFonts w:ascii="Arial" w:cs="Arial" w:eastAsia="Arial" w:hAnsi="Arial"/>
          <w:sz w:val="8"/>
          <w:szCs w:val="8"/>
          <w:color w:val="auto"/>
        </w:rPr>
        <w:t>Transition costs related to departure of Chief Executive Officer during the third quarter of fiscal 2026.</w:t>
      </w:r>
    </w:p>
    <w:p>
      <w:pPr>
        <w:spacing w:after="0" w:line="43" w:lineRule="exact"/>
        <w:rPr>
          <w:rFonts w:ascii="Arial" w:cs="Arial" w:eastAsia="Arial" w:hAnsi="Arial"/>
          <w:sz w:val="8"/>
          <w:szCs w:val="8"/>
          <w:color w:val="auto"/>
        </w:rPr>
      </w:pPr>
    </w:p>
    <w:p>
      <w:pPr>
        <w:ind w:left="460" w:hanging="290"/>
        <w:spacing w:after="0"/>
        <w:tabs>
          <w:tab w:leader="none" w:pos="460" w:val="left"/>
        </w:tabs>
        <w:numPr>
          <w:ilvl w:val="0"/>
          <w:numId w:val="86"/>
        </w:numPr>
        <w:rPr>
          <w:rFonts w:ascii="Arial" w:cs="Arial" w:eastAsia="Arial" w:hAnsi="Arial"/>
          <w:sz w:val="8"/>
          <w:szCs w:val="8"/>
          <w:color w:val="auto"/>
        </w:rPr>
      </w:pPr>
      <w:r>
        <w:rPr>
          <w:rFonts w:ascii="Arial" w:cs="Arial" w:eastAsia="Arial" w:hAnsi="Arial"/>
          <w:sz w:val="8"/>
          <w:szCs w:val="8"/>
          <w:color w:val="auto"/>
        </w:rPr>
        <w:t>Gain related to the settlement of a New Market Tax Credit transaction.</w:t>
      </w:r>
    </w:p>
    <w:p>
      <w:pPr>
        <w:spacing w:after="0" w:line="43" w:lineRule="exact"/>
        <w:rPr>
          <w:rFonts w:ascii="Arial" w:cs="Arial" w:eastAsia="Arial" w:hAnsi="Arial"/>
          <w:sz w:val="8"/>
          <w:szCs w:val="8"/>
          <w:color w:val="auto"/>
        </w:rPr>
      </w:pPr>
    </w:p>
    <w:p>
      <w:pPr>
        <w:ind w:left="460" w:hanging="290"/>
        <w:spacing w:after="0"/>
        <w:tabs>
          <w:tab w:leader="none" w:pos="460" w:val="left"/>
        </w:tabs>
        <w:numPr>
          <w:ilvl w:val="0"/>
          <w:numId w:val="86"/>
        </w:numPr>
        <w:rPr>
          <w:rFonts w:ascii="Arial" w:cs="Arial" w:eastAsia="Arial" w:hAnsi="Arial"/>
          <w:sz w:val="8"/>
          <w:szCs w:val="8"/>
          <w:color w:val="auto"/>
        </w:rPr>
      </w:pPr>
      <w:r>
        <w:rPr>
          <w:rFonts w:ascii="Arial" w:cs="Arial" w:eastAsia="Arial" w:hAnsi="Arial"/>
          <w:sz w:val="8"/>
          <w:szCs w:val="8"/>
          <w:color w:val="auto"/>
        </w:rPr>
        <w:t>Impairment expense on intangible assets in the Architectural Metals Segment.</w:t>
      </w:r>
    </w:p>
    <w:p>
      <w:pPr>
        <w:spacing w:after="0" w:line="43" w:lineRule="exact"/>
        <w:rPr>
          <w:rFonts w:ascii="Arial" w:cs="Arial" w:eastAsia="Arial" w:hAnsi="Arial"/>
          <w:sz w:val="8"/>
          <w:szCs w:val="8"/>
          <w:color w:val="auto"/>
        </w:rPr>
      </w:pPr>
    </w:p>
    <w:p>
      <w:pPr>
        <w:ind w:left="460" w:hanging="290"/>
        <w:spacing w:after="0"/>
        <w:tabs>
          <w:tab w:leader="none" w:pos="460" w:val="left"/>
        </w:tabs>
        <w:numPr>
          <w:ilvl w:val="0"/>
          <w:numId w:val="86"/>
        </w:numPr>
        <w:rPr>
          <w:rFonts w:ascii="Arial" w:cs="Arial" w:eastAsia="Arial" w:hAnsi="Arial"/>
          <w:sz w:val="8"/>
          <w:szCs w:val="8"/>
          <w:color w:val="auto"/>
        </w:rPr>
      </w:pPr>
      <w:r>
        <w:rPr>
          <w:rFonts w:ascii="Arial" w:cs="Arial" w:eastAsia="Arial" w:hAnsi="Arial"/>
          <w:sz w:val="8"/>
          <w:szCs w:val="8"/>
          <w:color w:val="auto"/>
        </w:rPr>
        <w:t>Expense related to an arbitration award, which represents the impact of the award amount net of existing reserves and estimated insurance proceeds.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09"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31"/>
        </w:trPr>
        <w:tc>
          <w:tcPr>
            <w:tcW w:w="2660" w:type="dxa"/>
            <w:vAlign w:val="bottom"/>
          </w:tcPr>
          <w:p>
            <w:pPr>
              <w:spacing w:after="0"/>
              <w:rPr>
                <w:sz w:val="11"/>
                <w:szCs w:val="11"/>
                <w:color w:val="auto"/>
              </w:rPr>
            </w:pPr>
          </w:p>
        </w:tc>
        <w:tc>
          <w:tcPr>
            <w:tcW w:w="3640" w:type="dxa"/>
            <w:vAlign w:val="bottom"/>
            <w:gridSpan w:val="3"/>
          </w:tcPr>
          <w:p>
            <w:pPr>
              <w:jc w:val="center"/>
              <w:ind w:left="2272"/>
              <w:spacing w:after="0"/>
              <w:rPr>
                <w:sz w:val="20"/>
                <w:szCs w:val="20"/>
                <w:color w:val="auto"/>
              </w:rPr>
            </w:pPr>
            <w:r>
              <w:rPr>
                <w:rFonts w:ascii="Arial" w:cs="Arial" w:eastAsia="Arial" w:hAnsi="Arial"/>
                <w:sz w:val="10"/>
                <w:szCs w:val="10"/>
                <w:b w:val="1"/>
                <w:bCs w:val="1"/>
                <w:color w:val="auto"/>
                <w:w w:val="95"/>
              </w:rPr>
              <w:t>Apogee Enterprises, Inc.</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3"/>
        </w:trPr>
        <w:tc>
          <w:tcPr>
            <w:tcW w:w="2660" w:type="dxa"/>
            <w:vAlign w:val="bottom"/>
          </w:tcPr>
          <w:p>
            <w:pPr>
              <w:spacing w:after="0"/>
              <w:rPr>
                <w:sz w:val="13"/>
                <w:szCs w:val="13"/>
                <w:color w:val="auto"/>
              </w:rPr>
            </w:pPr>
          </w:p>
        </w:tc>
        <w:tc>
          <w:tcPr>
            <w:tcW w:w="5100" w:type="dxa"/>
            <w:vAlign w:val="bottom"/>
            <w:gridSpan w:val="5"/>
          </w:tcPr>
          <w:p>
            <w:pPr>
              <w:jc w:val="center"/>
              <w:ind w:left="832"/>
              <w:spacing w:after="0"/>
              <w:rPr>
                <w:sz w:val="20"/>
                <w:szCs w:val="20"/>
                <w:color w:val="auto"/>
              </w:rPr>
            </w:pPr>
            <w:r>
              <w:rPr>
                <w:rFonts w:ascii="Arial" w:cs="Arial" w:eastAsia="Arial" w:hAnsi="Arial"/>
                <w:sz w:val="10"/>
                <w:szCs w:val="10"/>
                <w:b w:val="1"/>
                <w:bCs w:val="1"/>
                <w:color w:val="auto"/>
                <w:w w:val="95"/>
              </w:rPr>
              <w:t>Reconciliation of Non-GAAP Financial Measure - Adjusted Return on Invested Capital (ROIC)</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49"/>
        </w:trPr>
        <w:tc>
          <w:tcPr>
            <w:tcW w:w="2660" w:type="dxa"/>
            <w:vAlign w:val="bottom"/>
          </w:tcPr>
          <w:p>
            <w:pPr>
              <w:spacing w:after="0"/>
              <w:rPr>
                <w:sz w:val="12"/>
                <w:szCs w:val="12"/>
                <w:color w:val="auto"/>
              </w:rPr>
            </w:pPr>
          </w:p>
        </w:tc>
        <w:tc>
          <w:tcPr>
            <w:tcW w:w="3640" w:type="dxa"/>
            <w:vAlign w:val="bottom"/>
            <w:gridSpan w:val="3"/>
          </w:tcPr>
          <w:p>
            <w:pPr>
              <w:jc w:val="center"/>
              <w:ind w:left="2272"/>
              <w:spacing w:after="0"/>
              <w:rPr>
                <w:sz w:val="20"/>
                <w:szCs w:val="20"/>
                <w:color w:val="auto"/>
              </w:rPr>
            </w:pPr>
            <w:r>
              <w:rPr>
                <w:rFonts w:ascii="Arial" w:cs="Arial" w:eastAsia="Arial" w:hAnsi="Arial"/>
                <w:sz w:val="10"/>
                <w:szCs w:val="10"/>
                <w:color w:val="auto"/>
                <w:w w:val="95"/>
              </w:rPr>
              <w:t>(unaudited) (in thousands)</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57"/>
        </w:trPr>
        <w:tc>
          <w:tcPr>
            <w:tcW w:w="26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Twelve Months Ended</w:t>
            </w: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39"/>
        </w:trPr>
        <w:tc>
          <w:tcPr>
            <w:tcW w:w="26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ind w:left="100"/>
              <w:spacing w:after="0"/>
              <w:rPr>
                <w:sz w:val="20"/>
                <w:szCs w:val="20"/>
                <w:color w:val="auto"/>
              </w:rPr>
            </w:pPr>
            <w:r>
              <w:rPr>
                <w:rFonts w:ascii="Arial" w:cs="Arial" w:eastAsia="Arial" w:hAnsi="Arial"/>
                <w:sz w:val="10"/>
                <w:szCs w:val="10"/>
                <w:b w:val="1"/>
                <w:bCs w:val="1"/>
                <w:color w:val="auto"/>
              </w:rPr>
              <w:t>February 28, 2026</w:t>
            </w:r>
          </w:p>
        </w:tc>
        <w:tc>
          <w:tcPr>
            <w:tcW w:w="140" w:type="dxa"/>
            <w:vAlign w:val="bottom"/>
          </w:tcPr>
          <w:p>
            <w:pPr>
              <w:spacing w:after="0"/>
              <w:rPr>
                <w:sz w:val="12"/>
                <w:szCs w:val="12"/>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March 1, 2025</w:t>
            </w:r>
          </w:p>
        </w:tc>
        <w:tc>
          <w:tcPr>
            <w:tcW w:w="160" w:type="dxa"/>
            <w:vAlign w:val="bottom"/>
          </w:tcPr>
          <w:p>
            <w:pPr>
              <w:spacing w:after="0"/>
              <w:rPr>
                <w:sz w:val="12"/>
                <w:szCs w:val="12"/>
                <w:color w:val="auto"/>
              </w:rPr>
            </w:pPr>
          </w:p>
        </w:tc>
        <w:tc>
          <w:tcPr>
            <w:tcW w:w="1580" w:type="dxa"/>
            <w:vAlign w:val="bottom"/>
          </w:tcPr>
          <w:p>
            <w:pPr>
              <w:jc w:val="center"/>
              <w:ind w:right="112"/>
              <w:spacing w:after="0"/>
              <w:rPr>
                <w:sz w:val="20"/>
                <w:szCs w:val="20"/>
                <w:color w:val="auto"/>
              </w:rPr>
            </w:pPr>
            <w:r>
              <w:rPr>
                <w:rFonts w:ascii="Arial" w:cs="Arial" w:eastAsia="Arial" w:hAnsi="Arial"/>
                <w:sz w:val="10"/>
                <w:szCs w:val="10"/>
                <w:b w:val="1"/>
                <w:bCs w:val="1"/>
                <w:color w:val="auto"/>
                <w:w w:val="94"/>
              </w:rPr>
              <w:t>March 2, 2024</w:t>
            </w:r>
          </w:p>
        </w:tc>
      </w:tr>
      <w:tr>
        <w:trPr>
          <w:trHeight w:val="136"/>
        </w:trPr>
        <w:tc>
          <w:tcPr>
            <w:tcW w:w="266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center"/>
              <w:ind w:right="292"/>
              <w:spacing w:after="0"/>
              <w:rPr>
                <w:sz w:val="20"/>
                <w:szCs w:val="20"/>
                <w:color w:val="auto"/>
              </w:rPr>
            </w:pPr>
            <w:r>
              <w:rPr>
                <w:rFonts w:ascii="Arial" w:cs="Arial" w:eastAsia="Arial" w:hAnsi="Arial"/>
                <w:sz w:val="10"/>
                <w:szCs w:val="10"/>
                <w:b w:val="1"/>
                <w:bCs w:val="1"/>
                <w:color w:val="auto"/>
                <w:w w:val="94"/>
              </w:rPr>
              <w:t>(52 weeks)</w:t>
            </w:r>
          </w:p>
        </w:tc>
        <w:tc>
          <w:tcPr>
            <w:tcW w:w="80" w:type="dxa"/>
            <w:vAlign w:val="bottom"/>
            <w:tcBorders>
              <w:bottom w:val="single" w:sz="8" w:color="DBDBDB"/>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4"/>
              </w:rPr>
              <w:t>(52 weeks)</w:t>
            </w:r>
          </w:p>
        </w:tc>
        <w:tc>
          <w:tcPr>
            <w:tcW w:w="80" w:type="dxa"/>
            <w:vAlign w:val="bottom"/>
            <w:tcBorders>
              <w:bottom w:val="single" w:sz="8" w:color="DBDBDB"/>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(53 weeks)</w:t>
            </w:r>
          </w:p>
        </w:tc>
      </w:tr>
      <w:tr>
        <w:trPr>
          <w:trHeight w:val="147"/>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Net earnings</w:t>
            </w:r>
          </w:p>
        </w:tc>
        <w:tc>
          <w:tcPr>
            <w:tcW w:w="3640" w:type="dxa"/>
            <w:vAlign w:val="bottom"/>
            <w:gridSpan w:val="3"/>
            <w:shd w:val="clear" w:color="auto" w:fill="DBDBDB"/>
          </w:tcPr>
          <w:p>
            <w:pPr>
              <w:jc w:val="right"/>
              <w:ind w:right="280"/>
              <w:spacing w:after="0"/>
              <w:rPr>
                <w:sz w:val="20"/>
                <w:szCs w:val="20"/>
                <w:color w:val="auto"/>
              </w:rPr>
            </w:pPr>
            <w:r>
              <w:rPr>
                <w:rFonts w:ascii="Arial" w:cs="Arial" w:eastAsia="Arial" w:hAnsi="Arial"/>
                <w:sz w:val="10"/>
                <w:szCs w:val="10"/>
                <w:color w:val="auto"/>
              </w:rPr>
              <w:t>$</w:t>
            </w:r>
          </w:p>
        </w:tc>
        <w:tc>
          <w:tcPr>
            <w:tcW w:w="1380" w:type="dxa"/>
            <w:vAlign w:val="bottom"/>
            <w:shd w:val="clear" w:color="auto" w:fill="DBDBDB"/>
          </w:tcPr>
          <w:p>
            <w:pPr>
              <w:jc w:val="right"/>
              <w:ind w:right="212"/>
              <w:spacing w:after="0"/>
              <w:rPr>
                <w:sz w:val="20"/>
                <w:szCs w:val="20"/>
                <w:color w:val="auto"/>
              </w:rPr>
            </w:pPr>
            <w:r>
              <w:rPr>
                <w:rFonts w:ascii="Arial" w:cs="Arial" w:eastAsia="Arial" w:hAnsi="Arial"/>
                <w:sz w:val="10"/>
                <w:szCs w:val="10"/>
                <w:color w:val="auto"/>
              </w:rPr>
              <w:t>54,131</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85,052</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158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99,613</w:t>
            </w:r>
          </w:p>
        </w:tc>
      </w:tr>
      <w:tr>
        <w:trPr>
          <w:trHeight w:val="146"/>
        </w:trPr>
        <w:tc>
          <w:tcPr>
            <w:tcW w:w="2660" w:type="dxa"/>
            <w:vAlign w:val="bottom"/>
          </w:tcPr>
          <w:p>
            <w:pPr>
              <w:ind w:left="140"/>
              <w:spacing w:after="0"/>
              <w:rPr>
                <w:sz w:val="20"/>
                <w:szCs w:val="20"/>
                <w:color w:val="auto"/>
              </w:rPr>
            </w:pPr>
            <w:r>
              <w:rPr>
                <w:rFonts w:ascii="Arial" w:cs="Arial" w:eastAsia="Arial" w:hAnsi="Arial"/>
                <w:sz w:val="10"/>
                <w:szCs w:val="10"/>
                <w:color w:val="auto"/>
              </w:rPr>
              <w:t>Interest expense, net (after tax)</w:t>
            </w:r>
          </w:p>
        </w:tc>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ind w:right="212"/>
              <w:spacing w:after="0"/>
              <w:rPr>
                <w:sz w:val="20"/>
                <w:szCs w:val="20"/>
                <w:color w:val="auto"/>
              </w:rPr>
            </w:pPr>
            <w:r>
              <w:rPr>
                <w:rFonts w:ascii="Arial" w:cs="Arial" w:eastAsia="Arial" w:hAnsi="Arial"/>
                <w:sz w:val="10"/>
                <w:szCs w:val="10"/>
                <w:color w:val="auto"/>
              </w:rPr>
              <w:t>10,834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right"/>
              <w:ind w:right="252"/>
              <w:spacing w:after="0"/>
              <w:rPr>
                <w:sz w:val="20"/>
                <w:szCs w:val="20"/>
                <w:color w:val="auto"/>
              </w:rPr>
            </w:pPr>
            <w:r>
              <w:rPr>
                <w:rFonts w:ascii="Arial" w:cs="Arial" w:eastAsia="Arial" w:hAnsi="Arial"/>
                <w:sz w:val="10"/>
                <w:szCs w:val="10"/>
                <w:color w:val="auto"/>
              </w:rPr>
              <w:t>4,635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right"/>
              <w:ind w:right="192"/>
              <w:spacing w:after="0"/>
              <w:rPr>
                <w:sz w:val="20"/>
                <w:szCs w:val="20"/>
                <w:color w:val="auto"/>
              </w:rPr>
            </w:pPr>
            <w:r>
              <w:rPr>
                <w:rFonts w:ascii="Arial" w:cs="Arial" w:eastAsia="Arial" w:hAnsi="Arial"/>
                <w:sz w:val="10"/>
                <w:szCs w:val="10"/>
                <w:color w:val="auto"/>
              </w:rPr>
              <w:t>5,036</w:t>
            </w:r>
          </w:p>
        </w:tc>
      </w:tr>
      <w:tr>
        <w:trPr>
          <w:trHeight w:val="153"/>
        </w:trPr>
        <w:tc>
          <w:tcPr>
            <w:tcW w:w="2660" w:type="dxa"/>
            <w:vAlign w:val="bottom"/>
            <w:shd w:val="clear" w:color="auto" w:fill="DBDBDB"/>
          </w:tcPr>
          <w:p>
            <w:pPr>
              <w:ind w:left="140"/>
              <w:spacing w:after="0"/>
              <w:rPr>
                <w:sz w:val="20"/>
                <w:szCs w:val="20"/>
                <w:color w:val="auto"/>
              </w:rPr>
            </w:pPr>
            <w:r>
              <w:rPr>
                <w:rFonts w:ascii="Arial" w:cs="Arial" w:eastAsia="Arial" w:hAnsi="Arial"/>
                <w:sz w:val="10"/>
                <w:szCs w:val="10"/>
                <w:color w:val="auto"/>
              </w:rPr>
              <w:t>Other income, net (after tax)</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380" w:type="dxa"/>
            <w:vAlign w:val="bottom"/>
            <w:tcBorders>
              <w:bottom w:val="single" w:sz="8" w:color="auto"/>
            </w:tcBorders>
            <w:shd w:val="clear" w:color="auto" w:fill="DBDBDB"/>
          </w:tcPr>
          <w:p>
            <w:pPr>
              <w:jc w:val="right"/>
              <w:ind w:right="172"/>
              <w:spacing w:after="0"/>
              <w:rPr>
                <w:sz w:val="20"/>
                <w:szCs w:val="20"/>
                <w:color w:val="auto"/>
              </w:rPr>
            </w:pPr>
            <w:r>
              <w:rPr>
                <w:rFonts w:ascii="Arial" w:cs="Arial" w:eastAsia="Arial" w:hAnsi="Arial"/>
                <w:sz w:val="10"/>
                <w:szCs w:val="10"/>
                <w:color w:val="auto"/>
              </w:rPr>
              <w:t>(5,394)</w:t>
            </w:r>
          </w:p>
        </w:tc>
        <w:tc>
          <w:tcPr>
            <w:tcW w:w="80" w:type="dxa"/>
            <w:vAlign w:val="bottom"/>
            <w:tcBorders>
              <w:bottom w:val="single" w:sz="8" w:color="auto"/>
            </w:tcBorders>
            <w:shd w:val="clear" w:color="auto" w:fill="DBDBDB"/>
          </w:tcPr>
          <w:p>
            <w:pPr>
              <w:spacing w:after="0"/>
              <w:rPr>
                <w:sz w:val="13"/>
                <w:szCs w:val="13"/>
                <w:color w:val="auto"/>
              </w:rPr>
            </w:pPr>
          </w:p>
        </w:tc>
        <w:tc>
          <w:tcPr>
            <w:tcW w:w="140" w:type="dxa"/>
            <w:vAlign w:val="bottom"/>
            <w:tcBorders>
              <w:bottom w:val="single" w:sz="8" w:color="auto"/>
            </w:tcBorders>
            <w:shd w:val="clear" w:color="auto" w:fill="DBDBDB"/>
          </w:tcPr>
          <w:p>
            <w:pPr>
              <w:spacing w:after="0"/>
              <w:rPr>
                <w:sz w:val="13"/>
                <w:szCs w:val="13"/>
                <w:color w:val="auto"/>
              </w:rPr>
            </w:pPr>
          </w:p>
        </w:tc>
        <w:tc>
          <w:tcPr>
            <w:tcW w:w="1580" w:type="dxa"/>
            <w:vAlign w:val="bottom"/>
            <w:tcBorders>
              <w:bottom w:val="single" w:sz="8" w:color="auto"/>
            </w:tcBorders>
            <w:shd w:val="clear" w:color="auto" w:fill="DBDBDB"/>
          </w:tcPr>
          <w:p>
            <w:pPr>
              <w:jc w:val="right"/>
              <w:ind w:right="232"/>
              <w:spacing w:after="0"/>
              <w:rPr>
                <w:sz w:val="20"/>
                <w:szCs w:val="20"/>
                <w:color w:val="auto"/>
              </w:rPr>
            </w:pPr>
            <w:r>
              <w:rPr>
                <w:rFonts w:ascii="Arial" w:cs="Arial" w:eastAsia="Arial" w:hAnsi="Arial"/>
                <w:sz w:val="10"/>
                <w:szCs w:val="10"/>
                <w:color w:val="auto"/>
              </w:rPr>
              <w:t>(469)</w:t>
            </w:r>
          </w:p>
        </w:tc>
        <w:tc>
          <w:tcPr>
            <w:tcW w:w="80" w:type="dxa"/>
            <w:vAlign w:val="bottom"/>
            <w:shd w:val="clear" w:color="auto" w:fill="DBDBDB"/>
          </w:tcPr>
          <w:p>
            <w:pPr>
              <w:spacing w:after="0"/>
              <w:rPr>
                <w:sz w:val="13"/>
                <w:szCs w:val="13"/>
                <w:color w:val="auto"/>
              </w:rPr>
            </w:pPr>
          </w:p>
        </w:tc>
        <w:tc>
          <w:tcPr>
            <w:tcW w:w="160" w:type="dxa"/>
            <w:vAlign w:val="bottom"/>
            <w:tcBorders>
              <w:bottom w:val="single" w:sz="8" w:color="auto"/>
            </w:tcBorders>
            <w:shd w:val="clear" w:color="auto" w:fill="DBDBDB"/>
          </w:tcPr>
          <w:p>
            <w:pPr>
              <w:spacing w:after="0"/>
              <w:rPr>
                <w:sz w:val="13"/>
                <w:szCs w:val="13"/>
                <w:color w:val="auto"/>
              </w:rPr>
            </w:pPr>
          </w:p>
        </w:tc>
        <w:tc>
          <w:tcPr>
            <w:tcW w:w="1580" w:type="dxa"/>
            <w:vAlign w:val="bottom"/>
            <w:tcBorders>
              <w:bottom w:val="single" w:sz="8" w:color="auto"/>
            </w:tcBorders>
            <w:shd w:val="clear" w:color="auto" w:fill="DBDBDB"/>
          </w:tcPr>
          <w:p>
            <w:pPr>
              <w:jc w:val="right"/>
              <w:ind w:right="192"/>
              <w:spacing w:after="0"/>
              <w:rPr>
                <w:sz w:val="20"/>
                <w:szCs w:val="20"/>
                <w:color w:val="auto"/>
              </w:rPr>
            </w:pPr>
            <w:r>
              <w:rPr>
                <w:rFonts w:ascii="Arial" w:cs="Arial" w:eastAsia="Arial" w:hAnsi="Arial"/>
                <w:sz w:val="10"/>
                <w:szCs w:val="10"/>
                <w:color w:val="auto"/>
              </w:rPr>
              <w:t>(1,577)</w:t>
            </w:r>
          </w:p>
        </w:tc>
      </w:tr>
      <w:tr>
        <w:trPr>
          <w:trHeight w:val="142"/>
        </w:trPr>
        <w:tc>
          <w:tcPr>
            <w:tcW w:w="2660" w:type="dxa"/>
            <w:vAlign w:val="bottom"/>
          </w:tcPr>
          <w:p>
            <w:pPr>
              <w:spacing w:after="0"/>
              <w:rPr>
                <w:sz w:val="20"/>
                <w:szCs w:val="20"/>
                <w:color w:val="auto"/>
              </w:rPr>
            </w:pPr>
            <w:r>
              <w:rPr>
                <w:rFonts w:ascii="Arial" w:cs="Arial" w:eastAsia="Arial" w:hAnsi="Arial"/>
                <w:sz w:val="10"/>
                <w:szCs w:val="10"/>
                <w:color w:val="auto"/>
              </w:rPr>
              <w:t>Net operating income after taxes</w:t>
            </w:r>
          </w:p>
        </w:tc>
        <w:tc>
          <w:tcPr>
            <w:tcW w:w="3640" w:type="dxa"/>
            <w:vAlign w:val="bottom"/>
            <w:gridSpan w:val="3"/>
          </w:tcPr>
          <w:p>
            <w:pPr>
              <w:jc w:val="right"/>
              <w:ind w:right="280"/>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212"/>
              <w:spacing w:after="0"/>
              <w:rPr>
                <w:sz w:val="20"/>
                <w:szCs w:val="20"/>
                <w:color w:val="auto"/>
              </w:rPr>
            </w:pPr>
            <w:r>
              <w:rPr>
                <w:rFonts w:ascii="Arial" w:cs="Arial" w:eastAsia="Arial" w:hAnsi="Arial"/>
                <w:sz w:val="10"/>
                <w:szCs w:val="10"/>
                <w:color w:val="auto"/>
              </w:rPr>
              <w:t>59,571</w:t>
            </w:r>
          </w:p>
        </w:tc>
        <w:tc>
          <w:tcPr>
            <w:tcW w:w="8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ind w:right="272"/>
              <w:spacing w:after="0"/>
              <w:rPr>
                <w:sz w:val="20"/>
                <w:szCs w:val="20"/>
                <w:color w:val="auto"/>
              </w:rPr>
            </w:pPr>
            <w:r>
              <w:rPr>
                <w:rFonts w:ascii="Arial" w:cs="Arial" w:eastAsia="Arial" w:hAnsi="Arial"/>
                <w:sz w:val="10"/>
                <w:szCs w:val="10"/>
                <w:color w:val="auto"/>
              </w:rPr>
              <w:t>89,218</w:t>
            </w:r>
          </w:p>
        </w:tc>
        <w:tc>
          <w:tcPr>
            <w:tcW w:w="80" w:type="dxa"/>
            <w:vAlign w:val="bottom"/>
          </w:tcPr>
          <w:p>
            <w:pPr>
              <w:spacing w:after="0"/>
              <w:rPr>
                <w:sz w:val="12"/>
                <w:szCs w:val="12"/>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92"/>
              <w:spacing w:after="0"/>
              <w:rPr>
                <w:sz w:val="20"/>
                <w:szCs w:val="20"/>
                <w:color w:val="auto"/>
              </w:rPr>
            </w:pPr>
            <w:r>
              <w:rPr>
                <w:rFonts w:ascii="Arial" w:cs="Arial" w:eastAsia="Arial" w:hAnsi="Arial"/>
                <w:sz w:val="10"/>
                <w:szCs w:val="10"/>
                <w:color w:val="auto"/>
              </w:rPr>
              <w:t>103,072</w:t>
            </w:r>
          </w:p>
        </w:tc>
      </w:tr>
      <w:tr>
        <w:trPr>
          <w:trHeight w:val="160"/>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Adjustments:</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r>
      <w:tr>
        <w:trPr>
          <w:trHeight w:val="153"/>
        </w:trPr>
        <w:tc>
          <w:tcPr>
            <w:tcW w:w="2660" w:type="dxa"/>
            <w:vAlign w:val="bottom"/>
          </w:tcPr>
          <w:p>
            <w:pPr>
              <w:spacing w:after="0"/>
              <w:rPr>
                <w:sz w:val="20"/>
                <w:szCs w:val="20"/>
                <w:color w:val="auto"/>
              </w:rPr>
            </w:pPr>
            <w:r>
              <w:rPr>
                <w:rFonts w:ascii="Arial" w:cs="Arial" w:eastAsia="Arial" w:hAnsi="Arial"/>
                <w:sz w:val="10"/>
                <w:szCs w:val="10"/>
                <w:color w:val="auto"/>
              </w:rPr>
              <w:t xml:space="preserve">Acquisition-related costs </w:t>
            </w:r>
            <w:r>
              <w:rPr>
                <w:rFonts w:ascii="Arial" w:cs="Arial" w:eastAsia="Arial" w:hAnsi="Arial"/>
                <w:sz w:val="12"/>
                <w:szCs w:val="12"/>
                <w:color w:val="auto"/>
                <w:vertAlign w:val="superscript"/>
              </w:rPr>
              <w:t>(1)</w:t>
            </w:r>
          </w:p>
        </w:tc>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right"/>
              <w:ind w:right="212"/>
              <w:spacing w:after="0"/>
              <w:rPr>
                <w:sz w:val="20"/>
                <w:szCs w:val="20"/>
                <w:color w:val="auto"/>
              </w:rPr>
            </w:pPr>
            <w:r>
              <w:rPr>
                <w:rFonts w:ascii="Arial" w:cs="Arial" w:eastAsia="Arial" w:hAnsi="Arial"/>
                <w:sz w:val="10"/>
                <w:szCs w:val="10"/>
                <w:color w:val="auto"/>
              </w:rPr>
              <w:t>2,144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92"/>
              <w:spacing w:after="0"/>
              <w:rPr>
                <w:sz w:val="20"/>
                <w:szCs w:val="20"/>
                <w:color w:val="auto"/>
              </w:rPr>
            </w:pPr>
            <w:r>
              <w:rPr>
                <w:rFonts w:ascii="Arial" w:cs="Arial" w:eastAsia="Arial" w:hAnsi="Arial"/>
                <w:sz w:val="10"/>
                <w:szCs w:val="10"/>
                <w:color w:val="auto"/>
                <w:w w:val="91"/>
              </w:rPr>
              <w:t>10,302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ind w:left="220"/>
              <w:spacing w:after="0"/>
              <w:rPr>
                <w:sz w:val="20"/>
                <w:szCs w:val="20"/>
                <w:color w:val="auto"/>
              </w:rPr>
            </w:pPr>
            <w:r>
              <w:rPr>
                <w:rFonts w:ascii="Arial" w:cs="Arial" w:eastAsia="Arial" w:hAnsi="Arial"/>
                <w:sz w:val="10"/>
                <w:szCs w:val="10"/>
                <w:color w:val="auto"/>
              </w:rPr>
              <w:t>—</w:t>
            </w:r>
          </w:p>
        </w:tc>
      </w:tr>
      <w:tr>
        <w:trPr>
          <w:trHeight w:val="153"/>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 xml:space="preserve">Restructuring costs </w:t>
            </w:r>
            <w:r>
              <w:rPr>
                <w:rFonts w:ascii="Arial" w:cs="Arial" w:eastAsia="Arial" w:hAnsi="Arial"/>
                <w:sz w:val="12"/>
                <w:szCs w:val="12"/>
                <w:color w:val="auto"/>
                <w:vertAlign w:val="superscript"/>
              </w:rPr>
              <w:t>(2)</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80" w:type="dxa"/>
            <w:vAlign w:val="bottom"/>
            <w:shd w:val="clear" w:color="auto" w:fill="DBDBDB"/>
          </w:tcPr>
          <w:p>
            <w:pPr>
              <w:jc w:val="right"/>
              <w:ind w:right="212"/>
              <w:spacing w:after="0"/>
              <w:rPr>
                <w:sz w:val="20"/>
                <w:szCs w:val="20"/>
                <w:color w:val="auto"/>
              </w:rPr>
            </w:pPr>
            <w:r>
              <w:rPr>
                <w:rFonts w:ascii="Arial" w:cs="Arial" w:eastAsia="Arial" w:hAnsi="Arial"/>
                <w:sz w:val="10"/>
                <w:szCs w:val="10"/>
                <w:color w:val="auto"/>
              </w:rPr>
              <w:t>27,443</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80" w:type="dxa"/>
            <w:vAlign w:val="bottom"/>
            <w:shd w:val="clear" w:color="auto" w:fill="DBDBDB"/>
          </w:tcPr>
          <w:p>
            <w:pPr>
              <w:jc w:val="right"/>
              <w:ind w:right="272"/>
              <w:spacing w:after="0"/>
              <w:rPr>
                <w:sz w:val="20"/>
                <w:szCs w:val="20"/>
                <w:color w:val="auto"/>
              </w:rPr>
            </w:pPr>
            <w:r>
              <w:rPr>
                <w:rFonts w:ascii="Arial" w:cs="Arial" w:eastAsia="Arial" w:hAnsi="Arial"/>
                <w:sz w:val="10"/>
                <w:szCs w:val="10"/>
                <w:color w:val="auto"/>
              </w:rPr>
              <w:t>4,323</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80" w:type="dxa"/>
            <w:vAlign w:val="bottom"/>
            <w:shd w:val="clear" w:color="auto" w:fill="DBDBDB"/>
          </w:tcPr>
          <w:p>
            <w:pPr>
              <w:ind w:left="220"/>
              <w:spacing w:after="0"/>
              <w:rPr>
                <w:sz w:val="20"/>
                <w:szCs w:val="20"/>
                <w:color w:val="auto"/>
              </w:rPr>
            </w:pPr>
            <w:r>
              <w:rPr>
                <w:rFonts w:ascii="Arial" w:cs="Arial" w:eastAsia="Arial" w:hAnsi="Arial"/>
                <w:sz w:val="10"/>
                <w:szCs w:val="10"/>
                <w:color w:val="auto"/>
              </w:rPr>
              <w:t>12,403</w:t>
            </w:r>
          </w:p>
        </w:tc>
      </w:tr>
      <w:tr>
        <w:trPr>
          <w:trHeight w:val="153"/>
        </w:trPr>
        <w:tc>
          <w:tcPr>
            <w:tcW w:w="2660" w:type="dxa"/>
            <w:vAlign w:val="bottom"/>
          </w:tcPr>
          <w:p>
            <w:pPr>
              <w:spacing w:after="0"/>
              <w:rPr>
                <w:sz w:val="20"/>
                <w:szCs w:val="20"/>
                <w:color w:val="auto"/>
              </w:rPr>
            </w:pPr>
            <w:r>
              <w:rPr>
                <w:rFonts w:ascii="Arial" w:cs="Arial" w:eastAsia="Arial" w:hAnsi="Arial"/>
                <w:sz w:val="10"/>
                <w:szCs w:val="10"/>
                <w:color w:val="auto"/>
              </w:rPr>
              <w:t xml:space="preserve">Impairment expense </w:t>
            </w:r>
            <w:r>
              <w:rPr>
                <w:rFonts w:ascii="Arial" w:cs="Arial" w:eastAsia="Arial" w:hAnsi="Arial"/>
                <w:sz w:val="12"/>
                <w:szCs w:val="12"/>
                <w:color w:val="auto"/>
                <w:vertAlign w:val="superscript"/>
              </w:rPr>
              <w:t>(3)</w:t>
            </w:r>
          </w:p>
        </w:tc>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3"/>
                <w:szCs w:val="13"/>
                <w:color w:val="auto"/>
              </w:rPr>
            </w:pPr>
          </w:p>
        </w:tc>
        <w:tc>
          <w:tcPr>
            <w:tcW w:w="1580" w:type="dxa"/>
            <w:vAlign w:val="bottom"/>
          </w:tcPr>
          <w:p>
            <w:pPr>
              <w:jc w:val="center"/>
              <w:ind w:right="92"/>
              <w:spacing w:after="0"/>
              <w:rPr>
                <w:sz w:val="20"/>
                <w:szCs w:val="20"/>
                <w:color w:val="auto"/>
              </w:rPr>
            </w:pPr>
            <w:r>
              <w:rPr>
                <w:rFonts w:ascii="Arial" w:cs="Arial" w:eastAsia="Arial" w:hAnsi="Arial"/>
                <w:sz w:val="10"/>
                <w:szCs w:val="10"/>
                <w:color w:val="auto"/>
                <w:w w:val="95"/>
              </w:rPr>
              <w:t>7,634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ind w:left="220"/>
              <w:spacing w:after="0"/>
              <w:rPr>
                <w:sz w:val="20"/>
                <w:szCs w:val="20"/>
                <w:color w:val="auto"/>
              </w:rPr>
            </w:pPr>
            <w:r>
              <w:rPr>
                <w:rFonts w:ascii="Arial" w:cs="Arial" w:eastAsia="Arial" w:hAnsi="Arial"/>
                <w:sz w:val="10"/>
                <w:szCs w:val="10"/>
                <w:color w:val="auto"/>
              </w:rPr>
              <w:t>—</w:t>
            </w:r>
          </w:p>
        </w:tc>
      </w:tr>
      <w:tr>
        <w:trPr>
          <w:trHeight w:val="153"/>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 xml:space="preserve">Arbitration award expense </w:t>
            </w:r>
            <w:r>
              <w:rPr>
                <w:rFonts w:ascii="Arial" w:cs="Arial" w:eastAsia="Arial" w:hAnsi="Arial"/>
                <w:sz w:val="12"/>
                <w:szCs w:val="12"/>
                <w:color w:val="auto"/>
                <w:vertAlign w:val="superscript"/>
              </w:rPr>
              <w:t>(4)</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460" w:type="dxa"/>
            <w:vAlign w:val="bottom"/>
            <w:gridSpan w:val="2"/>
            <w:shd w:val="clear" w:color="auto" w:fill="DBDBDB"/>
          </w:tcPr>
          <w:p>
            <w:pPr>
              <w:jc w:val="center"/>
              <w:ind w:right="440"/>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BDBDB"/>
          </w:tcPr>
          <w:p>
            <w:pPr>
              <w:spacing w:after="0"/>
              <w:rPr>
                <w:sz w:val="13"/>
                <w:szCs w:val="13"/>
                <w:color w:val="auto"/>
              </w:rPr>
            </w:pPr>
          </w:p>
        </w:tc>
        <w:tc>
          <w:tcPr>
            <w:tcW w:w="1580" w:type="dxa"/>
            <w:vAlign w:val="bottom"/>
            <w:shd w:val="clear" w:color="auto" w:fill="DBDBDB"/>
          </w:tcPr>
          <w:p>
            <w:pPr>
              <w:jc w:val="center"/>
              <w:ind w:right="92"/>
              <w:spacing w:after="0"/>
              <w:rPr>
                <w:sz w:val="20"/>
                <w:szCs w:val="20"/>
                <w:color w:val="auto"/>
              </w:rPr>
            </w:pPr>
            <w:r>
              <w:rPr>
                <w:rFonts w:ascii="Arial" w:cs="Arial" w:eastAsia="Arial" w:hAnsi="Arial"/>
                <w:sz w:val="10"/>
                <w:szCs w:val="10"/>
                <w:color w:val="auto"/>
                <w:w w:val="95"/>
              </w:rPr>
              <w:t>9,393</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80" w:type="dxa"/>
            <w:vAlign w:val="bottom"/>
            <w:shd w:val="clear" w:color="auto" w:fill="DBDBDB"/>
          </w:tcPr>
          <w:p>
            <w:pPr>
              <w:ind w:left="220"/>
              <w:spacing w:after="0"/>
              <w:rPr>
                <w:sz w:val="20"/>
                <w:szCs w:val="20"/>
                <w:color w:val="auto"/>
              </w:rPr>
            </w:pPr>
            <w:r>
              <w:rPr>
                <w:rFonts w:ascii="Arial" w:cs="Arial" w:eastAsia="Arial" w:hAnsi="Arial"/>
                <w:sz w:val="10"/>
                <w:szCs w:val="10"/>
                <w:color w:val="auto"/>
              </w:rPr>
              <w:t>—</w:t>
            </w:r>
          </w:p>
        </w:tc>
      </w:tr>
      <w:tr>
        <w:trPr>
          <w:trHeight w:val="153"/>
        </w:trPr>
        <w:tc>
          <w:tcPr>
            <w:tcW w:w="2660" w:type="dxa"/>
            <w:vAlign w:val="bottom"/>
            <w:tcBorders>
              <w:bottom w:val="single" w:sz="8" w:color="DBDBDB"/>
            </w:tcBorders>
          </w:tcPr>
          <w:p>
            <w:pPr>
              <w:spacing w:after="0"/>
              <w:rPr>
                <w:sz w:val="20"/>
                <w:szCs w:val="20"/>
                <w:color w:val="auto"/>
              </w:rPr>
            </w:pPr>
            <w:r>
              <w:rPr>
                <w:rFonts w:ascii="Arial" w:cs="Arial" w:eastAsia="Arial" w:hAnsi="Arial"/>
                <w:sz w:val="10"/>
                <w:szCs w:val="10"/>
                <w:color w:val="auto"/>
              </w:rPr>
              <w:t xml:space="preserve">CEO transition and costs </w:t>
            </w:r>
            <w:r>
              <w:rPr>
                <w:rFonts w:ascii="Arial" w:cs="Arial" w:eastAsia="Arial" w:hAnsi="Arial"/>
                <w:sz w:val="12"/>
                <w:szCs w:val="12"/>
                <w:color w:val="auto"/>
                <w:vertAlign w:val="superscript"/>
              </w:rPr>
              <w:t>(5)</w:t>
            </w:r>
          </w:p>
        </w:tc>
        <w:tc>
          <w:tcPr>
            <w:tcW w:w="3200" w:type="dxa"/>
            <w:vAlign w:val="bottom"/>
            <w:tcBorders>
              <w:bottom w:val="single" w:sz="8" w:color="DBDBDB"/>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3,026</w:t>
            </w:r>
          </w:p>
        </w:tc>
        <w:tc>
          <w:tcPr>
            <w:tcW w:w="8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color w:val="auto"/>
                <w:w w:val="99"/>
              </w:rPr>
              <w:t>—</w:t>
            </w: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w:t>
            </w:r>
          </w:p>
        </w:tc>
      </w:tr>
      <w:tr>
        <w:trPr>
          <w:trHeight w:val="158"/>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Total Adjustments</w:t>
            </w:r>
          </w:p>
        </w:tc>
        <w:tc>
          <w:tcPr>
            <w:tcW w:w="3640" w:type="dxa"/>
            <w:vAlign w:val="bottom"/>
            <w:gridSpan w:val="3"/>
            <w:shd w:val="clear" w:color="auto" w:fill="DBDBDB"/>
          </w:tcPr>
          <w:p>
            <w:pPr>
              <w:jc w:val="right"/>
              <w:ind w:right="280"/>
              <w:spacing w:after="0"/>
              <w:rPr>
                <w:sz w:val="20"/>
                <w:szCs w:val="20"/>
                <w:color w:val="auto"/>
              </w:rPr>
            </w:pPr>
            <w:r>
              <w:rPr>
                <w:rFonts w:ascii="Arial" w:cs="Arial" w:eastAsia="Arial" w:hAnsi="Arial"/>
                <w:sz w:val="10"/>
                <w:szCs w:val="10"/>
                <w:color w:val="auto"/>
              </w:rPr>
              <w:t>$</w:t>
            </w:r>
          </w:p>
        </w:tc>
        <w:tc>
          <w:tcPr>
            <w:tcW w:w="1380" w:type="dxa"/>
            <w:vAlign w:val="bottom"/>
            <w:shd w:val="clear" w:color="auto" w:fill="DBDBDB"/>
          </w:tcPr>
          <w:p>
            <w:pPr>
              <w:jc w:val="right"/>
              <w:ind w:right="212"/>
              <w:spacing w:after="0"/>
              <w:rPr>
                <w:sz w:val="20"/>
                <w:szCs w:val="20"/>
                <w:color w:val="auto"/>
              </w:rPr>
            </w:pPr>
            <w:r>
              <w:rPr>
                <w:rFonts w:ascii="Arial" w:cs="Arial" w:eastAsia="Arial" w:hAnsi="Arial"/>
                <w:sz w:val="10"/>
                <w:szCs w:val="10"/>
                <w:color w:val="auto"/>
              </w:rPr>
              <w:t>32,613</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31,652</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1580" w:type="dxa"/>
            <w:vAlign w:val="bottom"/>
            <w:shd w:val="clear" w:color="auto" w:fill="DBDBDB"/>
          </w:tcPr>
          <w:p>
            <w:pPr>
              <w:jc w:val="right"/>
              <w:ind w:right="212"/>
              <w:spacing w:after="0"/>
              <w:rPr>
                <w:sz w:val="20"/>
                <w:szCs w:val="20"/>
                <w:color w:val="auto"/>
              </w:rPr>
            </w:pPr>
            <w:r>
              <w:rPr>
                <w:rFonts w:ascii="Arial" w:cs="Arial" w:eastAsia="Arial" w:hAnsi="Arial"/>
                <w:sz w:val="10"/>
                <w:szCs w:val="10"/>
                <w:color w:val="auto"/>
              </w:rPr>
              <w:t>12,403</w:t>
            </w:r>
          </w:p>
        </w:tc>
      </w:tr>
      <w:tr>
        <w:trPr>
          <w:trHeight w:val="153"/>
        </w:trPr>
        <w:tc>
          <w:tcPr>
            <w:tcW w:w="2660" w:type="dxa"/>
            <w:vAlign w:val="bottom"/>
            <w:tcBorders>
              <w:top w:val="single" w:sz="8" w:color="DBDBDB"/>
            </w:tcBorders>
          </w:tcPr>
          <w:p>
            <w:pPr>
              <w:spacing w:after="0"/>
              <w:rPr>
                <w:sz w:val="13"/>
                <w:szCs w:val="13"/>
                <w:color w:val="auto"/>
              </w:rPr>
            </w:pPr>
          </w:p>
        </w:tc>
        <w:tc>
          <w:tcPr>
            <w:tcW w:w="3200" w:type="dxa"/>
            <w:vAlign w:val="bottom"/>
            <w:tcBorders>
              <w:top w:val="single" w:sz="8" w:color="DBDBDB"/>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r>
      <w:tr>
        <w:trPr>
          <w:trHeight w:val="153"/>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 xml:space="preserve">Income tax impact on adjustments </w:t>
            </w:r>
            <w:r>
              <w:rPr>
                <w:rFonts w:ascii="Arial" w:cs="Arial" w:eastAsia="Arial" w:hAnsi="Arial"/>
                <w:sz w:val="12"/>
                <w:szCs w:val="12"/>
                <w:color w:val="auto"/>
                <w:vertAlign w:val="superscript"/>
              </w:rPr>
              <w:t>(6)</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80" w:type="dxa"/>
            <w:vAlign w:val="bottom"/>
            <w:shd w:val="clear" w:color="auto" w:fill="DBDBDB"/>
          </w:tcPr>
          <w:p>
            <w:pPr>
              <w:jc w:val="right"/>
              <w:ind w:right="212"/>
              <w:spacing w:after="0"/>
              <w:rPr>
                <w:sz w:val="20"/>
                <w:szCs w:val="20"/>
                <w:color w:val="auto"/>
              </w:rPr>
            </w:pPr>
            <w:r>
              <w:rPr>
                <w:rFonts w:ascii="Arial" w:cs="Arial" w:eastAsia="Arial" w:hAnsi="Arial"/>
                <w:sz w:val="10"/>
                <w:szCs w:val="10"/>
                <w:color w:val="auto"/>
              </w:rPr>
              <w:t>7,331</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80" w:type="dxa"/>
            <w:vAlign w:val="bottom"/>
            <w:shd w:val="clear" w:color="auto" w:fill="DBDBDB"/>
          </w:tcPr>
          <w:p>
            <w:pPr>
              <w:jc w:val="right"/>
              <w:ind w:right="1132"/>
              <w:spacing w:after="0"/>
              <w:rPr>
                <w:sz w:val="20"/>
                <w:szCs w:val="20"/>
                <w:color w:val="auto"/>
              </w:rPr>
            </w:pPr>
            <w:r>
              <w:rPr>
                <w:rFonts w:ascii="Arial" w:cs="Arial" w:eastAsia="Arial" w:hAnsi="Arial"/>
                <w:sz w:val="10"/>
                <w:szCs w:val="10"/>
                <w:color w:val="auto"/>
              </w:rPr>
              <w:t>7,831</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80" w:type="dxa"/>
            <w:vAlign w:val="bottom"/>
            <w:shd w:val="clear" w:color="auto" w:fill="DBDBDB"/>
          </w:tcPr>
          <w:p>
            <w:pPr>
              <w:jc w:val="center"/>
              <w:ind w:right="92"/>
              <w:spacing w:after="0"/>
              <w:rPr>
                <w:sz w:val="20"/>
                <w:szCs w:val="20"/>
                <w:color w:val="auto"/>
              </w:rPr>
            </w:pPr>
            <w:r>
              <w:rPr>
                <w:rFonts w:ascii="Arial" w:cs="Arial" w:eastAsia="Arial" w:hAnsi="Arial"/>
                <w:sz w:val="10"/>
                <w:szCs w:val="10"/>
                <w:color w:val="auto"/>
                <w:w w:val="95"/>
              </w:rPr>
              <w:t>3,039</w:t>
            </w:r>
          </w:p>
        </w:tc>
      </w:tr>
      <w:tr>
        <w:trPr>
          <w:trHeight w:val="145"/>
        </w:trPr>
        <w:tc>
          <w:tcPr>
            <w:tcW w:w="2660" w:type="dxa"/>
            <w:vAlign w:val="bottom"/>
          </w:tcPr>
          <w:p>
            <w:pPr>
              <w:spacing w:after="0"/>
              <w:rPr>
                <w:sz w:val="20"/>
                <w:szCs w:val="20"/>
                <w:color w:val="auto"/>
              </w:rPr>
            </w:pPr>
            <w:r>
              <w:rPr>
                <w:rFonts w:ascii="Arial" w:cs="Arial" w:eastAsia="Arial" w:hAnsi="Arial"/>
                <w:sz w:val="10"/>
                <w:szCs w:val="10"/>
                <w:color w:val="auto"/>
              </w:rPr>
              <w:t>Adjusted net operating income after taxes</w:t>
            </w:r>
          </w:p>
        </w:tc>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ind w:right="212"/>
              <w:spacing w:after="0"/>
              <w:rPr>
                <w:sz w:val="20"/>
                <w:szCs w:val="20"/>
                <w:color w:val="auto"/>
              </w:rPr>
            </w:pPr>
            <w:r>
              <w:rPr>
                <w:rFonts w:ascii="Arial" w:cs="Arial" w:eastAsia="Arial" w:hAnsi="Arial"/>
                <w:sz w:val="10"/>
                <w:szCs w:val="10"/>
                <w:color w:val="auto"/>
              </w:rPr>
              <w:t>84,852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0"/>
                <w:szCs w:val="10"/>
                <w:color w:val="auto"/>
              </w:rPr>
              <w:t>113,039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right"/>
              <w:ind w:right="1052"/>
              <w:spacing w:after="0"/>
              <w:rPr>
                <w:sz w:val="20"/>
                <w:szCs w:val="20"/>
                <w:color w:val="auto"/>
              </w:rPr>
            </w:pPr>
            <w:r>
              <w:rPr>
                <w:rFonts w:ascii="Arial" w:cs="Arial" w:eastAsia="Arial" w:hAnsi="Arial"/>
                <w:sz w:val="10"/>
                <w:szCs w:val="10"/>
                <w:color w:val="auto"/>
              </w:rPr>
              <w:t>112,436</w:t>
            </w:r>
          </w:p>
        </w:tc>
      </w:tr>
      <w:tr>
        <w:trPr>
          <w:trHeight w:val="80"/>
        </w:trPr>
        <w:tc>
          <w:tcPr>
            <w:tcW w:w="2660" w:type="dxa"/>
            <w:vAlign w:val="bottom"/>
            <w:shd w:val="clear" w:color="auto" w:fill="DBDBDB"/>
          </w:tcPr>
          <w:p>
            <w:pPr>
              <w:spacing w:after="0"/>
              <w:rPr>
                <w:sz w:val="6"/>
                <w:szCs w:val="6"/>
                <w:color w:val="auto"/>
              </w:rPr>
            </w:pPr>
          </w:p>
        </w:tc>
        <w:tc>
          <w:tcPr>
            <w:tcW w:w="3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13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15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580" w:type="dxa"/>
            <w:vAlign w:val="bottom"/>
            <w:shd w:val="clear" w:color="auto" w:fill="DBDBDB"/>
          </w:tcPr>
          <w:p>
            <w:pPr>
              <w:spacing w:after="0"/>
              <w:rPr>
                <w:sz w:val="6"/>
                <w:szCs w:val="6"/>
                <w:color w:val="auto"/>
              </w:rPr>
            </w:pPr>
          </w:p>
        </w:tc>
      </w:tr>
      <w:tr>
        <w:trPr>
          <w:trHeight w:val="153"/>
        </w:trPr>
        <w:tc>
          <w:tcPr>
            <w:tcW w:w="2660" w:type="dxa"/>
            <w:vAlign w:val="bottom"/>
          </w:tcPr>
          <w:p>
            <w:pPr>
              <w:spacing w:after="0"/>
              <w:rPr>
                <w:sz w:val="20"/>
                <w:szCs w:val="20"/>
                <w:color w:val="auto"/>
              </w:rPr>
            </w:pPr>
            <w:r>
              <w:rPr>
                <w:rFonts w:ascii="Arial" w:cs="Arial" w:eastAsia="Arial" w:hAnsi="Arial"/>
                <w:sz w:val="10"/>
                <w:szCs w:val="10"/>
                <w:color w:val="auto"/>
              </w:rPr>
              <w:t xml:space="preserve">Average invested capital </w:t>
            </w:r>
            <w:r>
              <w:rPr>
                <w:rFonts w:ascii="Arial" w:cs="Arial" w:eastAsia="Arial" w:hAnsi="Arial"/>
                <w:sz w:val="12"/>
                <w:szCs w:val="12"/>
                <w:color w:val="auto"/>
                <w:vertAlign w:val="superscript"/>
              </w:rPr>
              <w:t>(7)</w:t>
            </w:r>
          </w:p>
        </w:tc>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right"/>
              <w:ind w:right="212"/>
              <w:spacing w:after="0"/>
              <w:rPr>
                <w:sz w:val="20"/>
                <w:szCs w:val="20"/>
                <w:color w:val="auto"/>
              </w:rPr>
            </w:pPr>
            <w:r>
              <w:rPr>
                <w:rFonts w:ascii="Arial" w:cs="Arial" w:eastAsia="Arial" w:hAnsi="Arial"/>
                <w:sz w:val="10"/>
                <w:szCs w:val="10"/>
                <w:color w:val="auto"/>
              </w:rPr>
              <w:t>885,592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0"/>
                <w:szCs w:val="10"/>
                <w:color w:val="auto"/>
              </w:rPr>
              <w:t>757,178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ind w:right="1112"/>
              <w:spacing w:after="0"/>
              <w:rPr>
                <w:sz w:val="20"/>
                <w:szCs w:val="20"/>
                <w:color w:val="auto"/>
              </w:rPr>
            </w:pPr>
            <w:r>
              <w:rPr>
                <w:rFonts w:ascii="Arial" w:cs="Arial" w:eastAsia="Arial" w:hAnsi="Arial"/>
                <w:sz w:val="10"/>
                <w:szCs w:val="10"/>
                <w:color w:val="auto"/>
              </w:rPr>
              <w:t>668,555</w:t>
            </w:r>
          </w:p>
        </w:tc>
      </w:tr>
      <w:tr>
        <w:trPr>
          <w:trHeight w:val="153"/>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Adjusted average invested capital</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80" w:type="dxa"/>
            <w:vAlign w:val="bottom"/>
            <w:shd w:val="clear" w:color="auto" w:fill="DBDBDB"/>
          </w:tcPr>
          <w:p>
            <w:pPr>
              <w:jc w:val="right"/>
              <w:ind w:right="212"/>
              <w:spacing w:after="0"/>
              <w:rPr>
                <w:sz w:val="20"/>
                <w:szCs w:val="20"/>
                <w:color w:val="auto"/>
              </w:rPr>
            </w:pPr>
            <w:r>
              <w:rPr>
                <w:rFonts w:ascii="Arial" w:cs="Arial" w:eastAsia="Arial" w:hAnsi="Arial"/>
                <w:sz w:val="10"/>
                <w:szCs w:val="10"/>
                <w:color w:val="auto"/>
              </w:rPr>
              <w:t>885,592</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80" w:type="dxa"/>
            <w:vAlign w:val="bottom"/>
            <w:shd w:val="clear" w:color="auto" w:fill="DBDBDB"/>
          </w:tcPr>
          <w:p>
            <w:pPr>
              <w:ind w:left="80"/>
              <w:spacing w:after="0"/>
              <w:rPr>
                <w:sz w:val="20"/>
                <w:szCs w:val="20"/>
                <w:color w:val="auto"/>
              </w:rPr>
            </w:pPr>
            <w:r>
              <w:rPr>
                <w:rFonts w:ascii="Arial" w:cs="Arial" w:eastAsia="Arial" w:hAnsi="Arial"/>
                <w:sz w:val="10"/>
                <w:szCs w:val="10"/>
                <w:color w:val="auto"/>
              </w:rPr>
              <w:t>757,178</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80" w:type="dxa"/>
            <w:vAlign w:val="bottom"/>
            <w:shd w:val="clear" w:color="auto" w:fill="DBDBDB"/>
          </w:tcPr>
          <w:p>
            <w:pPr>
              <w:jc w:val="right"/>
              <w:ind w:right="1112"/>
              <w:spacing w:after="0"/>
              <w:rPr>
                <w:sz w:val="20"/>
                <w:szCs w:val="20"/>
                <w:color w:val="auto"/>
              </w:rPr>
            </w:pPr>
            <w:r>
              <w:rPr>
                <w:rFonts w:ascii="Arial" w:cs="Arial" w:eastAsia="Arial" w:hAnsi="Arial"/>
                <w:sz w:val="10"/>
                <w:szCs w:val="10"/>
                <w:color w:val="auto"/>
              </w:rPr>
              <w:t>668,555</w:t>
            </w:r>
          </w:p>
        </w:tc>
      </w:tr>
      <w:tr>
        <w:trPr>
          <w:trHeight w:val="99"/>
        </w:trPr>
        <w:tc>
          <w:tcPr>
            <w:tcW w:w="26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53"/>
        </w:trPr>
        <w:tc>
          <w:tcPr>
            <w:tcW w:w="2660" w:type="dxa"/>
            <w:vAlign w:val="bottom"/>
            <w:shd w:val="clear" w:color="auto" w:fill="DBDBDB"/>
          </w:tcPr>
          <w:p>
            <w:pPr>
              <w:spacing w:after="0"/>
              <w:rPr>
                <w:sz w:val="20"/>
                <w:szCs w:val="20"/>
                <w:color w:val="auto"/>
              </w:rPr>
            </w:pPr>
            <w:r>
              <w:rPr>
                <w:rFonts w:ascii="Arial" w:cs="Arial" w:eastAsia="Arial" w:hAnsi="Arial"/>
                <w:sz w:val="10"/>
                <w:szCs w:val="10"/>
                <w:color w:val="auto"/>
              </w:rPr>
              <w:t xml:space="preserve">Return on invested capital </w:t>
            </w:r>
            <w:r>
              <w:rPr>
                <w:rFonts w:ascii="Arial" w:cs="Arial" w:eastAsia="Arial" w:hAnsi="Arial"/>
                <w:sz w:val="12"/>
                <w:szCs w:val="12"/>
                <w:color w:val="auto"/>
                <w:vertAlign w:val="superscript"/>
              </w:rPr>
              <w:t>(8)</w:t>
            </w:r>
          </w:p>
        </w:tc>
        <w:tc>
          <w:tcPr>
            <w:tcW w:w="3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8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rPr>
              <w:t>6.73%</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80" w:type="dxa"/>
            <w:vAlign w:val="bottom"/>
            <w:shd w:val="clear" w:color="auto" w:fill="DBDBDB"/>
          </w:tcPr>
          <w:p>
            <w:pPr>
              <w:ind w:left="240"/>
              <w:spacing w:after="0"/>
              <w:rPr>
                <w:sz w:val="20"/>
                <w:szCs w:val="20"/>
                <w:color w:val="auto"/>
              </w:rPr>
            </w:pPr>
            <w:r>
              <w:rPr>
                <w:rFonts w:ascii="Arial" w:cs="Arial" w:eastAsia="Arial" w:hAnsi="Arial"/>
                <w:sz w:val="10"/>
                <w:szCs w:val="10"/>
                <w:color w:val="auto"/>
              </w:rPr>
              <w:t>11.78%</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80" w:type="dxa"/>
            <w:vAlign w:val="bottom"/>
            <w:shd w:val="clear" w:color="auto" w:fill="DBDBDB"/>
          </w:tcPr>
          <w:p>
            <w:pPr>
              <w:ind w:left="220"/>
              <w:spacing w:after="0"/>
              <w:rPr>
                <w:sz w:val="20"/>
                <w:szCs w:val="20"/>
                <w:color w:val="auto"/>
              </w:rPr>
            </w:pPr>
            <w:r>
              <w:rPr>
                <w:rFonts w:ascii="Arial" w:cs="Arial" w:eastAsia="Arial" w:hAnsi="Arial"/>
                <w:sz w:val="10"/>
                <w:szCs w:val="10"/>
                <w:color w:val="auto"/>
              </w:rPr>
              <w:t>15.42%</w:t>
            </w:r>
          </w:p>
        </w:tc>
      </w:tr>
      <w:tr>
        <w:trPr>
          <w:trHeight w:val="177"/>
        </w:trPr>
        <w:tc>
          <w:tcPr>
            <w:tcW w:w="2660" w:type="dxa"/>
            <w:vAlign w:val="bottom"/>
          </w:tcPr>
          <w:p>
            <w:pPr>
              <w:spacing w:after="0"/>
              <w:rPr>
                <w:sz w:val="20"/>
                <w:szCs w:val="20"/>
                <w:color w:val="auto"/>
              </w:rPr>
            </w:pPr>
            <w:r>
              <w:rPr>
                <w:rFonts w:ascii="Arial" w:cs="Arial" w:eastAsia="Arial" w:hAnsi="Arial"/>
                <w:sz w:val="10"/>
                <w:szCs w:val="10"/>
                <w:color w:val="auto"/>
              </w:rPr>
              <w:t xml:space="preserve">Adjusted return on invested capital </w:t>
            </w:r>
            <w:r>
              <w:rPr>
                <w:rFonts w:ascii="Arial" w:cs="Arial" w:eastAsia="Arial" w:hAnsi="Arial"/>
                <w:sz w:val="12"/>
                <w:szCs w:val="12"/>
                <w:color w:val="auto"/>
                <w:vertAlign w:val="superscript"/>
              </w:rPr>
              <w:t>(9)</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ind w:right="172"/>
              <w:spacing w:after="0"/>
              <w:rPr>
                <w:sz w:val="20"/>
                <w:szCs w:val="20"/>
                <w:color w:val="auto"/>
              </w:rPr>
            </w:pPr>
            <w:r>
              <w:rPr>
                <w:rFonts w:ascii="Arial" w:cs="Arial" w:eastAsia="Arial" w:hAnsi="Arial"/>
                <w:sz w:val="10"/>
                <w:szCs w:val="10"/>
                <w:color w:val="auto"/>
              </w:rPr>
              <w:t>9.58%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ind w:left="240"/>
              <w:spacing w:after="0"/>
              <w:rPr>
                <w:sz w:val="20"/>
                <w:szCs w:val="20"/>
                <w:color w:val="auto"/>
              </w:rPr>
            </w:pPr>
            <w:r>
              <w:rPr>
                <w:rFonts w:ascii="Arial" w:cs="Arial" w:eastAsia="Arial" w:hAnsi="Arial"/>
                <w:sz w:val="10"/>
                <w:szCs w:val="10"/>
                <w:color w:val="auto"/>
              </w:rPr>
              <w:t>14.93%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ind w:left="220"/>
              <w:spacing w:after="0"/>
              <w:rPr>
                <w:sz w:val="20"/>
                <w:szCs w:val="20"/>
                <w:color w:val="auto"/>
              </w:rPr>
            </w:pPr>
            <w:r>
              <w:rPr>
                <w:rFonts w:ascii="Arial" w:cs="Arial" w:eastAsia="Arial" w:hAnsi="Arial"/>
                <w:sz w:val="10"/>
                <w:szCs w:val="10"/>
                <w:color w:val="auto"/>
              </w:rPr>
              <w:t>16.82%</w:t>
            </w:r>
          </w:p>
        </w:tc>
      </w:tr>
    </w:tbl>
    <w:p>
      <w:pPr>
        <w:spacing w:after="0" w:line="135" w:lineRule="exact"/>
        <w:rPr>
          <w:sz w:val="20"/>
          <w:szCs w:val="20"/>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Acquisition-related costs include one-time expenses incurred to integrate the UW Solutions acquisition.</w:t>
      </w:r>
    </w:p>
    <w:p>
      <w:pPr>
        <w:spacing w:after="0" w:line="43"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Restructuring costs related to Project Fortify. Cost incurred in fiscal year 2024 and 2025 were associated with Phase 1 and costs incurred in fiscal year 2026 are associated with Phase 2.</w:t>
      </w:r>
    </w:p>
    <w:p>
      <w:pPr>
        <w:spacing w:after="0" w:line="79"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Impairment expense for intangible assets in the Architectural Metals Segment.</w:t>
      </w:r>
    </w:p>
    <w:p>
      <w:pPr>
        <w:spacing w:after="0" w:line="79"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Loss related to an uninsured portion of an arbitration award.</w:t>
      </w:r>
    </w:p>
    <w:p>
      <w:pPr>
        <w:spacing w:after="0" w:line="43"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Transition and costs related to departure of Chief Executive Officer during the third quarter of fiscal 2026.</w:t>
      </w:r>
    </w:p>
    <w:p>
      <w:pPr>
        <w:spacing w:after="0" w:line="43"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Income tax impact reflects the estimated tax rate for the jurisdictions in which the charge or income occurred.</w:t>
      </w:r>
    </w:p>
    <w:p>
      <w:pPr>
        <w:spacing w:after="0" w:line="79"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Average invested capital represents a trailing five quarter average of total assets less average current liabilities (excluding current portion long-term debt).</w:t>
      </w:r>
    </w:p>
    <w:p>
      <w:pPr>
        <w:spacing w:after="0" w:line="43"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ROIC is calculated by dividing net operating income after taxes by average invested capital.</w:t>
      </w:r>
    </w:p>
    <w:p>
      <w:pPr>
        <w:spacing w:after="0" w:line="43" w:lineRule="exact"/>
        <w:rPr>
          <w:rFonts w:ascii="Arial" w:cs="Arial" w:eastAsia="Arial" w:hAnsi="Arial"/>
          <w:sz w:val="8"/>
          <w:szCs w:val="8"/>
          <w:color w:val="auto"/>
        </w:rPr>
      </w:pPr>
    </w:p>
    <w:p>
      <w:pPr>
        <w:ind w:left="540" w:hanging="329"/>
        <w:spacing w:after="0"/>
        <w:tabs>
          <w:tab w:leader="none" w:pos="540" w:val="left"/>
        </w:tabs>
        <w:numPr>
          <w:ilvl w:val="0"/>
          <w:numId w:val="87"/>
        </w:numPr>
        <w:rPr>
          <w:rFonts w:ascii="Arial" w:cs="Arial" w:eastAsia="Arial" w:hAnsi="Arial"/>
          <w:sz w:val="8"/>
          <w:szCs w:val="8"/>
          <w:color w:val="auto"/>
        </w:rPr>
      </w:pPr>
      <w:r>
        <w:rPr>
          <w:rFonts w:ascii="Arial" w:cs="Arial" w:eastAsia="Arial" w:hAnsi="Arial"/>
          <w:sz w:val="8"/>
          <w:szCs w:val="8"/>
          <w:color w:val="auto"/>
        </w:rPr>
        <w:t>Adjusted ROIC is calculated by dividing adjusted net operating income after taxes by adjusted average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1" w:right="299" w:bottom="1440" w:gutter="0" w:footer="0" w:header="0"/>
        </w:sectPr>
      </w:pPr>
    </w:p>
    <w:bookmarkStart w:id="101" w:name="page102"/>
    <w:bookmarkEnd w:id="101"/>
    <w:p>
      <w:pPr>
        <w:ind w:left="5180"/>
        <w:spacing w:after="0"/>
        <w:rPr>
          <w:sz w:val="20"/>
          <w:szCs w:val="20"/>
          <w:color w:val="auto"/>
        </w:rPr>
      </w:pPr>
      <w:r>
        <w:rPr>
          <w:rFonts w:ascii="Arial" w:cs="Arial" w:eastAsia="Arial" w:hAnsi="Arial"/>
          <w:sz w:val="17"/>
          <w:szCs w:val="17"/>
          <w:b w:val="1"/>
          <w:bCs w:val="1"/>
          <w:color w:val="auto"/>
        </w:rPr>
        <w:t>Appendix B</w:t>
      </w:r>
    </w:p>
    <w:p>
      <w:pPr>
        <w:spacing w:after="0" w:line="147"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Apogee Enterprises,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Stock Incentive Plan, As Amended and Restated (2026)</w:t>
      </w:r>
    </w:p>
    <w:p>
      <w:pPr>
        <w:spacing w:after="0" w:line="133"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Section 1.</w:t>
      </w:r>
      <w:r>
        <w:rPr>
          <w:sz w:val="20"/>
          <w:szCs w:val="20"/>
          <w:color w:val="auto"/>
        </w:rPr>
        <w:tab/>
      </w:r>
      <w:r>
        <w:rPr>
          <w:rFonts w:ascii="Arial" w:cs="Arial" w:eastAsia="Arial" w:hAnsi="Arial"/>
          <w:sz w:val="11"/>
          <w:szCs w:val="11"/>
          <w:u w:val="single" w:color="auto"/>
          <w:color w:val="auto"/>
        </w:rPr>
        <w:t>Purpose</w:t>
      </w:r>
      <w:r>
        <w:rPr>
          <w:rFonts w:ascii="Arial" w:cs="Arial" w:eastAsia="Arial" w:hAnsi="Arial"/>
          <w:sz w:val="11"/>
          <w:szCs w:val="11"/>
          <w:color w:val="auto"/>
        </w:rPr>
        <w:t>.</w:t>
      </w:r>
    </w:p>
    <w:p>
      <w:pPr>
        <w:spacing w:after="0" w:line="78"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2"/>
          <w:szCs w:val="12"/>
          <w:color w:val="auto"/>
        </w:rPr>
        <w:t>The purpose of the Plan is to promote the interests of the Company and its shareholders by aiding the Company in attracting and retaining management personnel capable of providing strategic direction to, and assuring the future success of, the Company, to offer such personnel and other employees, as determined by the Committee from time to time, incentives to put forth maximum efforts for the success of the Company’s business and an opportunity to acquire a proprietary interest in the Company, thereby aligning the interests of such personnel with the Company’s shareholders.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Section 2.</w:t>
      </w:r>
      <w:r>
        <w:rPr>
          <w:sz w:val="20"/>
          <w:szCs w:val="20"/>
          <w:color w:val="auto"/>
        </w:rPr>
        <w:tab/>
      </w:r>
      <w:r>
        <w:rPr>
          <w:rFonts w:ascii="Arial" w:cs="Arial" w:eastAsia="Arial" w:hAnsi="Arial"/>
          <w:sz w:val="12"/>
          <w:szCs w:val="12"/>
          <w:u w:val="single" w:color="auto"/>
          <w:color w:val="auto"/>
        </w:rPr>
        <w:t>Definitions</w:t>
      </w:r>
      <w:r>
        <w:rPr>
          <w:rFonts w:ascii="Arial" w:cs="Arial" w:eastAsia="Arial" w:hAnsi="Arial"/>
          <w:sz w:val="12"/>
          <w:szCs w:val="12"/>
          <w:color w:val="auto"/>
        </w:rPr>
        <w:t>.</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As used in the Plan, the following terms shall have the meanings set forth below:</w:t>
      </w:r>
    </w:p>
    <w:p>
      <w:pPr>
        <w:spacing w:after="0" w:line="150" w:lineRule="exact"/>
        <w:rPr>
          <w:sz w:val="20"/>
          <w:szCs w:val="20"/>
          <w:color w:val="auto"/>
        </w:rPr>
      </w:pPr>
    </w:p>
    <w:p>
      <w:pPr>
        <w:jc w:val="both"/>
        <w:ind w:firstLine="856"/>
        <w:spacing w:after="0" w:line="262" w:lineRule="auto"/>
        <w:tabs>
          <w:tab w:leader="none" w:pos="1155" w:val="left"/>
        </w:tabs>
        <w:numPr>
          <w:ilvl w:val="0"/>
          <w:numId w:val="88"/>
        </w:numPr>
        <w:rPr>
          <w:rFonts w:ascii="Arial" w:cs="Arial" w:eastAsia="Arial" w:hAnsi="Arial"/>
          <w:sz w:val="12"/>
          <w:szCs w:val="12"/>
          <w:color w:val="auto"/>
        </w:rPr>
      </w:pPr>
      <w:r>
        <w:rPr>
          <w:rFonts w:ascii="Arial" w:cs="Arial" w:eastAsia="Arial" w:hAnsi="Arial"/>
          <w:sz w:val="12"/>
          <w:szCs w:val="12"/>
          <w:color w:val="auto"/>
        </w:rPr>
        <w:t>“Acquiring Person” shall mean any “person” (as such term is used in Sections 13(d) and 14(d) of the Exchange Act) who or which, together with all Affiliates and Associates of such person, is the Beneficial Owner (as defined in Rule 13d-3 promulgated under the Exchange Act) of 10% or more of the shares of Common Stock of the Company then outstanding, but shall not include the Company, any subsidiary of the Company or any employee benefit plan of the Company or of any subsidiary of the Company or any entity holding shares of Common Stock organized, appointed or established for, or pursuant to the terms of, any such plan. For purposes of this definition, “Affiliate” and “Associate” shall have the respective meanings ascribed to such terms in Rule 12b-2 promulgated under the Exchange Act.</w:t>
      </w:r>
    </w:p>
    <w:p>
      <w:pPr>
        <w:spacing w:after="0" w:line="117" w:lineRule="exact"/>
        <w:rPr>
          <w:rFonts w:ascii="Arial" w:cs="Arial" w:eastAsia="Arial" w:hAnsi="Arial"/>
          <w:sz w:val="12"/>
          <w:szCs w:val="12"/>
          <w:color w:val="auto"/>
        </w:rPr>
      </w:pPr>
    </w:p>
    <w:p>
      <w:pPr>
        <w:ind w:right="20" w:firstLine="856"/>
        <w:spacing w:after="0" w:line="286" w:lineRule="auto"/>
        <w:tabs>
          <w:tab w:leader="none" w:pos="1158" w:val="left"/>
        </w:tabs>
        <w:numPr>
          <w:ilvl w:val="0"/>
          <w:numId w:val="88"/>
        </w:numPr>
        <w:rPr>
          <w:rFonts w:ascii="Arial" w:cs="Arial" w:eastAsia="Arial" w:hAnsi="Arial"/>
          <w:sz w:val="12"/>
          <w:szCs w:val="12"/>
          <w:color w:val="auto"/>
        </w:rPr>
      </w:pPr>
      <w:r>
        <w:rPr>
          <w:rFonts w:ascii="Arial" w:cs="Arial" w:eastAsia="Arial" w:hAnsi="Arial"/>
          <w:sz w:val="12"/>
          <w:szCs w:val="12"/>
          <w:color w:val="auto"/>
        </w:rPr>
        <w:t>“Affiliate” shall mean (i) any entity that, directly or indirectly through one or more intermediaries, is controlled by the Company and (ii) any entity in which the Company has a significant equity interest, in each case as determined by the Committee.</w:t>
      </w:r>
    </w:p>
    <w:p>
      <w:pPr>
        <w:spacing w:after="0" w:line="76" w:lineRule="exact"/>
        <w:rPr>
          <w:rFonts w:ascii="Arial" w:cs="Arial" w:eastAsia="Arial" w:hAnsi="Arial"/>
          <w:sz w:val="12"/>
          <w:szCs w:val="12"/>
          <w:color w:val="auto"/>
        </w:rPr>
      </w:pPr>
    </w:p>
    <w:p>
      <w:pPr>
        <w:ind w:left="1120" w:hanging="264"/>
        <w:spacing w:after="0" w:line="138" w:lineRule="exact"/>
        <w:tabs>
          <w:tab w:leader="none" w:pos="11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“Award” shall mean any Option, Stock Appreciation Right, Restricted Stock, Restricted Stock Unit, Dividend Equivalent or Other Stock</w:t>
      </w:r>
      <w:r>
        <w:rPr>
          <w:rFonts w:ascii="MS PGothic" w:cs="MS PGothic" w:eastAsia="MS PGothic" w:hAnsi="MS PGothic"/>
          <w:sz w:val="12"/>
          <w:szCs w:val="12"/>
          <w:color w:val="auto"/>
        </w:rPr>
        <w:t>‑</w:t>
      </w:r>
      <w:r>
        <w:rPr>
          <w:rFonts w:ascii="Arial" w:cs="Arial" w:eastAsia="Arial" w:hAnsi="Arial"/>
          <w:sz w:val="12"/>
          <w:szCs w:val="12"/>
          <w:color w:val="auto"/>
        </w:rPr>
        <w:t>Based Award granted under the Plan.</w:t>
      </w:r>
    </w:p>
    <w:p>
      <w:pPr>
        <w:spacing w:after="0" w:line="176" w:lineRule="exact"/>
        <w:rPr>
          <w:rFonts w:ascii="Arial" w:cs="Arial" w:eastAsia="Arial" w:hAnsi="Arial"/>
          <w:sz w:val="12"/>
          <w:szCs w:val="12"/>
          <w:color w:val="auto"/>
        </w:rPr>
      </w:pPr>
    </w:p>
    <w:p>
      <w:pPr>
        <w:ind w:right="20" w:firstLine="856"/>
        <w:spacing w:after="0" w:line="286" w:lineRule="auto"/>
        <w:tabs>
          <w:tab w:leader="none" w:pos="1181" w:val="left"/>
        </w:tabs>
        <w:numPr>
          <w:ilvl w:val="0"/>
          <w:numId w:val="88"/>
        </w:numPr>
        <w:rPr>
          <w:rFonts w:ascii="Arial" w:cs="Arial" w:eastAsia="Arial" w:hAnsi="Arial"/>
          <w:sz w:val="12"/>
          <w:szCs w:val="12"/>
          <w:color w:val="auto"/>
        </w:rPr>
      </w:pPr>
      <w:r>
        <w:rPr>
          <w:rFonts w:ascii="Arial" w:cs="Arial" w:eastAsia="Arial" w:hAnsi="Arial"/>
          <w:sz w:val="12"/>
          <w:szCs w:val="12"/>
          <w:color w:val="auto"/>
        </w:rPr>
        <w:t>“Award Agreement” shall mean any written agreement, contract or other instrument or document evidencing an Award granted under the Plan (including a document in electronic medium) executed in accordance with the requirements of Section 9(b).</w:t>
      </w:r>
    </w:p>
    <w:p>
      <w:pPr>
        <w:spacing w:after="0" w:line="103" w:lineRule="exact"/>
        <w:rPr>
          <w:rFonts w:ascii="Arial" w:cs="Arial" w:eastAsia="Arial" w:hAnsi="Arial"/>
          <w:sz w:val="12"/>
          <w:szCs w:val="12"/>
          <w:color w:val="auto"/>
        </w:rPr>
      </w:pPr>
    </w:p>
    <w:p>
      <w:pPr>
        <w:ind w:left="1140" w:hanging="284"/>
        <w:spacing w:after="0"/>
        <w:tabs>
          <w:tab w:leader="none" w:pos="11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“Board” shall mean the Board of Directors of the Company.</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88"/>
        </w:numPr>
        <w:rPr>
          <w:rFonts w:ascii="Arial" w:cs="Arial" w:eastAsia="Arial" w:hAnsi="Arial"/>
          <w:sz w:val="12"/>
          <w:szCs w:val="12"/>
          <w:color w:val="auto"/>
        </w:rPr>
      </w:pPr>
      <w:r>
        <w:rPr>
          <w:rFonts w:ascii="Arial" w:cs="Arial" w:eastAsia="Arial" w:hAnsi="Arial"/>
          <w:sz w:val="12"/>
          <w:szCs w:val="12"/>
          <w:color w:val="auto"/>
        </w:rPr>
        <w:t>“Change-in-Control” shall mean:</w:t>
      </w:r>
    </w:p>
    <w:p>
      <w:pPr>
        <w:spacing w:after="0" w:line="150" w:lineRule="exact"/>
        <w:rPr>
          <w:rFonts w:ascii="Arial" w:cs="Arial" w:eastAsia="Arial" w:hAnsi="Arial"/>
          <w:sz w:val="12"/>
          <w:szCs w:val="12"/>
          <w:color w:val="auto"/>
        </w:rPr>
      </w:pPr>
    </w:p>
    <w:p>
      <w:pPr>
        <w:ind w:firstLine="1288"/>
        <w:spacing w:after="0" w:line="286" w:lineRule="auto"/>
        <w:tabs>
          <w:tab w:leader="none" w:pos="1580" w:val="left"/>
        </w:tabs>
        <w:numPr>
          <w:ilvl w:val="1"/>
          <w:numId w:val="88"/>
        </w:numPr>
        <w:rPr>
          <w:rFonts w:ascii="Arial" w:cs="Arial" w:eastAsia="Arial" w:hAnsi="Arial"/>
          <w:sz w:val="12"/>
          <w:szCs w:val="12"/>
          <w:color w:val="auto"/>
        </w:rPr>
      </w:pPr>
      <w:r>
        <w:rPr>
          <w:rFonts w:ascii="Arial" w:cs="Arial" w:eastAsia="Arial" w:hAnsi="Arial"/>
          <w:sz w:val="12"/>
          <w:szCs w:val="12"/>
          <w:color w:val="auto"/>
        </w:rPr>
        <w:t>a change-in-control of a nature that would be required to be reported in response to Item 6(e) of Schedule 14A of Regulation 14A promulgated under the Exchange Act, or successor provision thereto, whether or not the Company is then subject to such reporting requirement including, without limitation, any of the following events:</w:t>
      </w:r>
    </w:p>
    <w:p>
      <w:pPr>
        <w:spacing w:after="0" w:line="103" w:lineRule="exact"/>
        <w:rPr>
          <w:rFonts w:ascii="Arial" w:cs="Arial" w:eastAsia="Arial" w:hAnsi="Arial"/>
          <w:sz w:val="12"/>
          <w:szCs w:val="12"/>
          <w:color w:val="auto"/>
        </w:rPr>
      </w:pPr>
    </w:p>
    <w:p>
      <w:pPr>
        <w:jc w:val="both"/>
        <w:ind w:firstLine="1720"/>
        <w:spacing w:after="0" w:line="262" w:lineRule="auto"/>
        <w:tabs>
          <w:tab w:leader="none" w:pos="2064" w:val="left"/>
        </w:tabs>
        <w:numPr>
          <w:ilvl w:val="2"/>
          <w:numId w:val="88"/>
        </w:numPr>
        <w:rPr>
          <w:rFonts w:ascii="Arial" w:cs="Arial" w:eastAsia="Arial" w:hAnsi="Arial"/>
          <w:sz w:val="12"/>
          <w:szCs w:val="12"/>
          <w:color w:val="auto"/>
        </w:rPr>
      </w:pPr>
      <w:r>
        <w:rPr>
          <w:rFonts w:ascii="Arial" w:cs="Arial" w:eastAsia="Arial" w:hAnsi="Arial"/>
          <w:sz w:val="12"/>
          <w:szCs w:val="12"/>
          <w:color w:val="auto"/>
        </w:rPr>
        <w:t>the consummation of any consolidation or merger of the Company in which the Company is not the continuing or surviving corporation or pursuant to which shares of the Company’s Common Stock would be converted into cash, securities, or other property, other than a merger of the Company in which all or substantially all of the holders of the Company’s Common Stock immediately prior to the consolidation or merger own more than 65% of the common stock of the surviving corporation immediately after the merger in the same relative proportions as their ownership of the Company’s Common Stock immediately prior to the consolidation or merger;</w:t>
      </w:r>
    </w:p>
    <w:p>
      <w:pPr>
        <w:spacing w:after="0" w:line="117" w:lineRule="exact"/>
        <w:rPr>
          <w:rFonts w:ascii="Arial" w:cs="Arial" w:eastAsia="Arial" w:hAnsi="Arial"/>
          <w:sz w:val="12"/>
          <w:szCs w:val="12"/>
          <w:color w:val="auto"/>
        </w:rPr>
      </w:pPr>
    </w:p>
    <w:p>
      <w:pPr>
        <w:ind w:left="2020" w:hanging="300"/>
        <w:spacing w:after="0"/>
        <w:tabs>
          <w:tab w:leader="none" w:pos="2020" w:val="left"/>
        </w:tabs>
        <w:numPr>
          <w:ilvl w:val="2"/>
          <w:numId w:val="88"/>
        </w:numPr>
        <w:rPr>
          <w:rFonts w:ascii="Arial" w:cs="Arial" w:eastAsia="Arial" w:hAnsi="Arial"/>
          <w:sz w:val="12"/>
          <w:szCs w:val="12"/>
          <w:color w:val="auto"/>
        </w:rPr>
      </w:pPr>
      <w:r>
        <w:rPr>
          <w:rFonts w:ascii="Arial" w:cs="Arial" w:eastAsia="Arial" w:hAnsi="Arial"/>
          <w:sz w:val="12"/>
          <w:szCs w:val="12"/>
          <w:color w:val="auto"/>
        </w:rPr>
        <w:t>any sale, lease, exchange or other transfer (in one transaction or a series of related transactions) of all, or substantially all, of the assets of the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102" w:name="page103"/>
    <w:bookmarkEnd w:id="102"/>
    <w:p>
      <w:pPr>
        <w:ind w:left="2020" w:hanging="300"/>
        <w:spacing w:after="0"/>
        <w:tabs>
          <w:tab w:leader="none" w:pos="2020" w:val="left"/>
        </w:tabs>
        <w:numPr>
          <w:ilvl w:val="2"/>
          <w:numId w:val="89"/>
        </w:numPr>
        <w:rPr>
          <w:rFonts w:ascii="Arial" w:cs="Arial" w:eastAsia="Arial" w:hAnsi="Arial"/>
          <w:sz w:val="12"/>
          <w:szCs w:val="12"/>
          <w:color w:val="auto"/>
        </w:rPr>
      </w:pPr>
      <w:r>
        <w:rPr>
          <w:rFonts w:ascii="Arial" w:cs="Arial" w:eastAsia="Arial" w:hAnsi="Arial"/>
          <w:sz w:val="12"/>
          <w:szCs w:val="12"/>
          <w:color w:val="auto"/>
        </w:rPr>
        <w:t>any reorganization, reverse stock split, or recapitalization of the Company which would result in a Change-in-Control; or</w:t>
      </w:r>
    </w:p>
    <w:p>
      <w:pPr>
        <w:spacing w:after="0" w:line="150" w:lineRule="exact"/>
        <w:rPr>
          <w:rFonts w:ascii="Arial" w:cs="Arial" w:eastAsia="Arial" w:hAnsi="Arial"/>
          <w:sz w:val="12"/>
          <w:szCs w:val="12"/>
          <w:color w:val="auto"/>
        </w:rPr>
      </w:pPr>
    </w:p>
    <w:p>
      <w:pPr>
        <w:ind w:left="2020" w:hanging="300"/>
        <w:spacing w:after="0"/>
        <w:tabs>
          <w:tab w:leader="none" w:pos="2020" w:val="left"/>
        </w:tabs>
        <w:numPr>
          <w:ilvl w:val="2"/>
          <w:numId w:val="89"/>
        </w:numPr>
        <w:rPr>
          <w:rFonts w:ascii="Arial" w:cs="Arial" w:eastAsia="Arial" w:hAnsi="Arial"/>
          <w:sz w:val="12"/>
          <w:szCs w:val="12"/>
          <w:color w:val="auto"/>
        </w:rPr>
      </w:pPr>
      <w:r>
        <w:rPr>
          <w:rFonts w:ascii="Arial" w:cs="Arial" w:eastAsia="Arial" w:hAnsi="Arial"/>
          <w:sz w:val="12"/>
          <w:szCs w:val="12"/>
          <w:color w:val="auto"/>
        </w:rPr>
        <w:t>any transaction or series of related transactions having, directly or indirectly, the same effect as any of the foregoing.</w:t>
      </w:r>
    </w:p>
    <w:p>
      <w:pPr>
        <w:spacing w:after="0" w:line="123" w:lineRule="exact"/>
        <w:rPr>
          <w:rFonts w:ascii="Arial" w:cs="Arial" w:eastAsia="Arial" w:hAnsi="Arial"/>
          <w:sz w:val="12"/>
          <w:szCs w:val="12"/>
          <w:color w:val="auto"/>
        </w:rPr>
      </w:pPr>
    </w:p>
    <w:p>
      <w:pPr>
        <w:ind w:firstLine="1288"/>
        <w:spacing w:after="0" w:line="165" w:lineRule="exact"/>
        <w:tabs>
          <w:tab w:leader="none" w:pos="1572" w:val="left"/>
        </w:tabs>
        <w:numPr>
          <w:ilvl w:val="1"/>
          <w:numId w:val="90"/>
        </w:numPr>
        <w:rPr>
          <w:rFonts w:ascii="Arial" w:cs="Arial" w:eastAsia="Arial" w:hAnsi="Arial"/>
          <w:sz w:val="12"/>
          <w:szCs w:val="12"/>
          <w:color w:val="auto"/>
        </w:rPr>
      </w:pPr>
      <w:r>
        <w:rPr>
          <w:rFonts w:ascii="Arial" w:cs="Arial" w:eastAsia="Arial" w:hAnsi="Arial"/>
          <w:sz w:val="12"/>
          <w:szCs w:val="12"/>
          <w:color w:val="auto"/>
        </w:rPr>
        <w:t>any “person” (as such term is used in Sections 13(d) and 14(d) of the Exchange Act) is or becomes the “Beneficial Owner” (as defined in Rule 13d</w:t>
      </w:r>
      <w:r>
        <w:rPr>
          <w:rFonts w:ascii="MS PGothic" w:cs="MS PGothic" w:eastAsia="MS PGothic" w:hAnsi="MS PGothic"/>
          <w:sz w:val="12"/>
          <w:szCs w:val="12"/>
          <w:color w:val="auto"/>
        </w:rPr>
        <w:t>‑</w:t>
      </w:r>
      <w:r>
        <w:rPr>
          <w:rFonts w:ascii="Arial" w:cs="Arial" w:eastAsia="Arial" w:hAnsi="Arial"/>
          <w:sz w:val="12"/>
          <w:szCs w:val="12"/>
          <w:color w:val="auto"/>
        </w:rPr>
        <w:t>3 promulgated under the Exchange Act), directly or indirectly, of securities of the Company representing 35% or more of the combined voting power of the Company’s then outstanding securities; or</w:t>
      </w:r>
    </w:p>
    <w:p>
      <w:pPr>
        <w:spacing w:after="0" w:line="129" w:lineRule="exact"/>
        <w:rPr>
          <w:rFonts w:ascii="Arial" w:cs="Arial" w:eastAsia="Arial" w:hAnsi="Arial"/>
          <w:sz w:val="12"/>
          <w:szCs w:val="12"/>
          <w:color w:val="auto"/>
        </w:rPr>
      </w:pPr>
    </w:p>
    <w:p>
      <w:pPr>
        <w:ind w:left="1580" w:hanging="292"/>
        <w:spacing w:after="0"/>
        <w:tabs>
          <w:tab w:leader="none" w:pos="1580" w:val="left"/>
        </w:tabs>
        <w:numPr>
          <w:ilvl w:val="1"/>
          <w:numId w:val="90"/>
        </w:numPr>
        <w:rPr>
          <w:rFonts w:ascii="Arial" w:cs="Arial" w:eastAsia="Arial" w:hAnsi="Arial"/>
          <w:sz w:val="12"/>
          <w:szCs w:val="12"/>
          <w:color w:val="auto"/>
        </w:rPr>
      </w:pPr>
      <w:r>
        <w:rPr>
          <w:rFonts w:ascii="Arial" w:cs="Arial" w:eastAsia="Arial" w:hAnsi="Arial"/>
          <w:sz w:val="12"/>
          <w:szCs w:val="12"/>
          <w:color w:val="auto"/>
        </w:rPr>
        <w:t>the Continuing Directors cease to constitute a majority of the Company’s Board.</w:t>
      </w:r>
    </w:p>
    <w:p>
      <w:pPr>
        <w:spacing w:after="0" w:line="150" w:lineRule="exact"/>
        <w:rPr>
          <w:rFonts w:ascii="Arial" w:cs="Arial" w:eastAsia="Arial" w:hAnsi="Arial"/>
          <w:sz w:val="12"/>
          <w:szCs w:val="12"/>
          <w:color w:val="auto"/>
        </w:rPr>
      </w:pPr>
    </w:p>
    <w:p>
      <w:pPr>
        <w:ind w:left="1140" w:hanging="284"/>
        <w:spacing w:after="0"/>
        <w:tabs>
          <w:tab w:leader="none" w:pos="11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“Code” shall mean the Internal Revenue Code of 1986, as amended from time to time, and any regulations promulgated thereunder.</w:t>
      </w:r>
    </w:p>
    <w:p>
      <w:pPr>
        <w:spacing w:after="0" w:line="150" w:lineRule="exact"/>
        <w:rPr>
          <w:rFonts w:ascii="Arial" w:cs="Arial" w:eastAsia="Arial" w:hAnsi="Arial"/>
          <w:sz w:val="12"/>
          <w:szCs w:val="12"/>
          <w:color w:val="auto"/>
        </w:rPr>
      </w:pPr>
    </w:p>
    <w:p>
      <w:pPr>
        <w:jc w:val="both"/>
        <w:ind w:firstLine="856"/>
        <w:spacing w:after="0" w:line="149" w:lineRule="exact"/>
        <w:tabs>
          <w:tab w:leader="none" w:pos="1208"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“Committee” shall mean the Compensation Committee of the Board or any successor committee of the Board designated by the Board to administer the Plan. The Committee shall be comprised of not less than such number of Directors as shall be required to permit Awards granted under the Plan to qualify under Rule 16b-3, and each member of the Committee shall be a “non</w:t>
      </w:r>
      <w:r>
        <w:rPr>
          <w:rFonts w:ascii="MS PGothic" w:cs="MS PGothic" w:eastAsia="MS PGothic" w:hAnsi="MS PGothic"/>
          <w:sz w:val="12"/>
          <w:szCs w:val="12"/>
          <w:color w:val="auto"/>
        </w:rPr>
        <w:t>‑</w:t>
      </w:r>
      <w:r>
        <w:rPr>
          <w:rFonts w:ascii="Arial" w:cs="Arial" w:eastAsia="Arial" w:hAnsi="Arial"/>
          <w:sz w:val="12"/>
          <w:szCs w:val="12"/>
          <w:color w:val="auto"/>
        </w:rPr>
        <w:t>employee director” within the meaning of Rule 16b-3.</w:t>
      </w:r>
    </w:p>
    <w:p>
      <w:pPr>
        <w:spacing w:after="0" w:line="130" w:lineRule="exact"/>
        <w:rPr>
          <w:rFonts w:ascii="Arial" w:cs="Arial" w:eastAsia="Arial" w:hAnsi="Arial"/>
          <w:sz w:val="12"/>
          <w:szCs w:val="12"/>
          <w:color w:val="auto"/>
        </w:rPr>
      </w:pPr>
    </w:p>
    <w:p>
      <w:pPr>
        <w:ind w:left="1100" w:hanging="244"/>
        <w:spacing w:after="0"/>
        <w:tabs>
          <w:tab w:leader="none" w:pos="11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“Common Stock” shall mean shares of common stock, $.33-1/3 par value, of the Company.</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“Company” shall mean Apogee Enterprises, Inc., a Minnesota corporation, and any successor corporation.</w:t>
      </w:r>
    </w:p>
    <w:p>
      <w:pPr>
        <w:spacing w:after="0" w:line="150" w:lineRule="exact"/>
        <w:rPr>
          <w:rFonts w:ascii="Arial" w:cs="Arial" w:eastAsia="Arial" w:hAnsi="Arial"/>
          <w:sz w:val="12"/>
          <w:szCs w:val="12"/>
          <w:color w:val="auto"/>
        </w:rPr>
      </w:pPr>
    </w:p>
    <w:p>
      <w:pPr>
        <w:jc w:val="both"/>
        <w:ind w:firstLine="856"/>
        <w:spacing w:after="0" w:line="262" w:lineRule="auto"/>
        <w:tabs>
          <w:tab w:leader="none" w:pos="1184"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“Continuing Director” shall mean any person who is a member of the Board, who is not an Acquiring Person or an Affiliate or Associate of an Acquiring Person, or a representative of an Acquiring Person or of any such Affiliate or Associate, and who (A) was a member of the Board on the date of the applicable Award Agreement or (B) subsequently becomes a member of the Board, if such person’s initial nomination for election or initial election to the Board is recommended or approved by a majority of the Continuing Directors. For purposes of this definition, “Affiliate” and “Associate” shall have the respective meanings ascribed to such terms in Rule 12b-2 promulgated under the Exchange Act.</w:t>
      </w:r>
    </w:p>
    <w:p>
      <w:pPr>
        <w:spacing w:after="0" w:line="117" w:lineRule="exact"/>
        <w:rPr>
          <w:rFonts w:ascii="Arial" w:cs="Arial" w:eastAsia="Arial" w:hAnsi="Arial"/>
          <w:sz w:val="12"/>
          <w:szCs w:val="12"/>
          <w:color w:val="auto"/>
        </w:rPr>
      </w:pPr>
    </w:p>
    <w:p>
      <w:pPr>
        <w:ind w:left="1100" w:hanging="244"/>
        <w:spacing w:after="0"/>
        <w:tabs>
          <w:tab w:leader="none" w:pos="11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“Director” shall mean a member of the Board.</w:t>
      </w:r>
    </w:p>
    <w:p>
      <w:pPr>
        <w:spacing w:after="0" w:line="150" w:lineRule="exact"/>
        <w:rPr>
          <w:rFonts w:ascii="Arial" w:cs="Arial" w:eastAsia="Arial" w:hAnsi="Arial"/>
          <w:sz w:val="12"/>
          <w:szCs w:val="12"/>
          <w:color w:val="auto"/>
        </w:rPr>
      </w:pPr>
    </w:p>
    <w:p>
      <w:pPr>
        <w:ind w:left="1200" w:hanging="344"/>
        <w:spacing w:after="0"/>
        <w:tabs>
          <w:tab w:leader="none" w:pos="12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“Disability” shall mean any physical or mental condition which would qualify an Eligible Person for a disability benefit under any long-term disability plan maintained by the Company or any</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Affiliate.</w:t>
      </w:r>
    </w:p>
    <w:p>
      <w:pPr>
        <w:spacing w:after="0" w:line="138" w:lineRule="exact"/>
        <w:rPr>
          <w:rFonts w:ascii="Arial" w:cs="Arial" w:eastAsia="Arial" w:hAnsi="Arial"/>
          <w:sz w:val="12"/>
          <w:szCs w:val="12"/>
          <w:color w:val="auto"/>
        </w:rPr>
      </w:pPr>
    </w:p>
    <w:p>
      <w:pPr>
        <w:ind w:left="1140" w:hanging="284"/>
        <w:spacing w:after="0"/>
        <w:tabs>
          <w:tab w:leader="none" w:pos="11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“Dividend Equivalent” shall mean any right granted under Section 6(d) of the Plan.</w:t>
      </w:r>
    </w:p>
    <w:p>
      <w:pPr>
        <w:spacing w:after="0" w:line="150" w:lineRule="exact"/>
        <w:rPr>
          <w:rFonts w:ascii="Arial" w:cs="Arial" w:eastAsia="Arial" w:hAnsi="Arial"/>
          <w:sz w:val="12"/>
          <w:szCs w:val="12"/>
          <w:color w:val="auto"/>
        </w:rPr>
      </w:pPr>
    </w:p>
    <w:p>
      <w:pPr>
        <w:ind w:firstLine="856"/>
        <w:spacing w:after="0" w:line="286" w:lineRule="auto"/>
        <w:tabs>
          <w:tab w:leader="none" w:pos="11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“Eligible Person” shall mean any employee, officer, consultant or independent contractor providing services to the Company or any Affiliate (or any person to whom an offer of employment or engagement with the Company or an Affiliate is extended). An Eligible Person must be a natural person.</w:t>
      </w:r>
    </w:p>
    <w:p>
      <w:pPr>
        <w:spacing w:after="0" w:line="103" w:lineRule="exact"/>
        <w:rPr>
          <w:rFonts w:ascii="Arial" w:cs="Arial" w:eastAsia="Arial" w:hAnsi="Arial"/>
          <w:sz w:val="12"/>
          <w:szCs w:val="12"/>
          <w:color w:val="auto"/>
        </w:rPr>
      </w:pPr>
    </w:p>
    <w:p>
      <w:pPr>
        <w:ind w:left="1140" w:hanging="284"/>
        <w:spacing w:after="0"/>
        <w:tabs>
          <w:tab w:leader="none" w:pos="11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“Exchange Act” shall mean the Securities and Exchange Act of 1934, as amended.</w:t>
      </w:r>
    </w:p>
    <w:p>
      <w:pPr>
        <w:spacing w:after="0" w:line="150" w:lineRule="exact"/>
        <w:rPr>
          <w:rFonts w:ascii="Arial" w:cs="Arial" w:eastAsia="Arial" w:hAnsi="Arial"/>
          <w:sz w:val="12"/>
          <w:szCs w:val="12"/>
          <w:color w:val="auto"/>
        </w:rPr>
      </w:pPr>
    </w:p>
    <w:p>
      <w:pPr>
        <w:jc w:val="both"/>
        <w:ind w:firstLine="856"/>
        <w:spacing w:after="0" w:line="262" w:lineRule="auto"/>
        <w:tabs>
          <w:tab w:leader="none" w:pos="1147" w:val="left"/>
        </w:tabs>
        <w:numPr>
          <w:ilvl w:val="0"/>
          <w:numId w:val="91"/>
        </w:numPr>
        <w:rPr>
          <w:rFonts w:ascii="Arial" w:cs="Arial" w:eastAsia="Arial" w:hAnsi="Arial"/>
          <w:sz w:val="12"/>
          <w:szCs w:val="12"/>
          <w:color w:val="auto"/>
        </w:rPr>
      </w:pPr>
      <w:r>
        <w:rPr>
          <w:rFonts w:ascii="Arial" w:cs="Arial" w:eastAsia="Arial" w:hAnsi="Arial"/>
          <w:sz w:val="12"/>
          <w:szCs w:val="12"/>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 Notwithstanding the foregoing, unless otherwise determined by the Committee, the Fair Market Value of Shares on a given date for purposes of the Plan shall be the closing sale price of the Shares as reported on the NASDAQ Global Select Market on such date or, if such market is not open for trading on such date, on the most recent preceding date when such market is open for trading.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03" w:name="page104"/>
    <w:bookmarkEnd w:id="103"/>
    <w:p>
      <w:pPr>
        <w:ind w:left="1100" w:hanging="244"/>
        <w:spacing w:after="0"/>
        <w:tabs>
          <w:tab w:leader="none" w:pos="11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“Incentive Stock Option” shall mean an option granted under Section 6(a) of the Plan that is intended to meet the requirements of Section 422 of the Code or any successor provision.</w:t>
      </w:r>
    </w:p>
    <w:p>
      <w:pPr>
        <w:spacing w:after="0" w:line="123" w:lineRule="exact"/>
        <w:rPr>
          <w:rFonts w:ascii="Arial" w:cs="Arial" w:eastAsia="Arial" w:hAnsi="Arial"/>
          <w:sz w:val="12"/>
          <w:szCs w:val="12"/>
          <w:color w:val="auto"/>
        </w:rPr>
      </w:pPr>
    </w:p>
    <w:p>
      <w:pPr>
        <w:ind w:left="1120" w:hanging="264"/>
        <w:spacing w:after="0" w:line="138" w:lineRule="exact"/>
        <w:tabs>
          <w:tab w:leader="none" w:pos="11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w:t>
      </w:r>
      <w:r>
        <w:rPr>
          <w:rFonts w:ascii="MS PGothic" w:cs="MS PGothic" w:eastAsia="MS PGothic" w:hAnsi="MS PGothic"/>
          <w:sz w:val="12"/>
          <w:szCs w:val="12"/>
          <w:color w:val="auto"/>
        </w:rPr>
        <w:t>‑</w:t>
      </w:r>
      <w:r>
        <w:rPr>
          <w:rFonts w:ascii="Arial" w:cs="Arial" w:eastAsia="Arial" w:hAnsi="Arial"/>
          <w:sz w:val="12"/>
          <w:szCs w:val="12"/>
          <w:color w:val="auto"/>
        </w:rPr>
        <w:t>Employee Director” shall mean a Director who is not also an employee of the Company or an Affiliate.</w:t>
      </w:r>
    </w:p>
    <w:p>
      <w:pPr>
        <w:spacing w:after="0" w:line="150" w:lineRule="exact"/>
        <w:rPr>
          <w:rFonts w:ascii="Arial" w:cs="Arial" w:eastAsia="Arial" w:hAnsi="Arial"/>
          <w:sz w:val="12"/>
          <w:szCs w:val="12"/>
          <w:color w:val="auto"/>
        </w:rPr>
      </w:pPr>
    </w:p>
    <w:p>
      <w:pPr>
        <w:ind w:left="1100" w:hanging="244"/>
        <w:spacing w:after="0" w:line="138" w:lineRule="exact"/>
        <w:tabs>
          <w:tab w:leader="none" w:pos="11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w:t>
      </w:r>
      <w:r>
        <w:rPr>
          <w:rFonts w:ascii="MS PGothic" w:cs="MS PGothic" w:eastAsia="MS PGothic" w:hAnsi="MS PGothic"/>
          <w:sz w:val="12"/>
          <w:szCs w:val="12"/>
          <w:color w:val="auto"/>
        </w:rPr>
        <w:t>‑</w:t>
      </w:r>
      <w:r>
        <w:rPr>
          <w:rFonts w:ascii="Arial" w:cs="Arial" w:eastAsia="Arial" w:hAnsi="Arial"/>
          <w:sz w:val="12"/>
          <w:szCs w:val="12"/>
          <w:color w:val="auto"/>
        </w:rPr>
        <w:t>Qualified Stock Option” shall mean an option granted under Section 6(a) of the Plan that is not intended to be an Incentive Stock Option.</w:t>
      </w:r>
    </w:p>
    <w:p>
      <w:pPr>
        <w:spacing w:after="0" w:line="150" w:lineRule="exact"/>
        <w:rPr>
          <w:rFonts w:ascii="Arial" w:cs="Arial" w:eastAsia="Arial" w:hAnsi="Arial"/>
          <w:sz w:val="12"/>
          <w:szCs w:val="12"/>
          <w:color w:val="auto"/>
        </w:rPr>
      </w:pPr>
    </w:p>
    <w:p>
      <w:pPr>
        <w:ind w:left="1140" w:hanging="284"/>
        <w:spacing w:after="0" w:line="138" w:lineRule="exact"/>
        <w:tabs>
          <w:tab w:leader="none" w:pos="11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“Option” shall mean an Incentive Stock Option or a Non</w:t>
      </w:r>
      <w:r>
        <w:rPr>
          <w:rFonts w:ascii="MS PGothic" w:cs="MS PGothic" w:eastAsia="MS PGothic" w:hAnsi="MS PGothic"/>
          <w:sz w:val="12"/>
          <w:szCs w:val="12"/>
          <w:color w:val="auto"/>
        </w:rPr>
        <w:t>‑</w:t>
      </w:r>
      <w:r>
        <w:rPr>
          <w:rFonts w:ascii="Arial" w:cs="Arial" w:eastAsia="Arial" w:hAnsi="Arial"/>
          <w:sz w:val="12"/>
          <w:szCs w:val="12"/>
          <w:color w:val="auto"/>
        </w:rPr>
        <w:t>Qualified Stock Option.</w:t>
      </w:r>
    </w:p>
    <w:p>
      <w:pPr>
        <w:spacing w:after="0" w:line="150" w:lineRule="exact"/>
        <w:rPr>
          <w:rFonts w:ascii="Arial" w:cs="Arial" w:eastAsia="Arial" w:hAnsi="Arial"/>
          <w:sz w:val="12"/>
          <w:szCs w:val="12"/>
          <w:color w:val="auto"/>
        </w:rPr>
      </w:pPr>
    </w:p>
    <w:p>
      <w:pPr>
        <w:ind w:left="1120" w:hanging="264"/>
        <w:spacing w:after="0" w:line="138" w:lineRule="exact"/>
        <w:tabs>
          <w:tab w:leader="none" w:pos="11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“Other Stock</w:t>
      </w:r>
      <w:r>
        <w:rPr>
          <w:rFonts w:ascii="MS PGothic" w:cs="MS PGothic" w:eastAsia="MS PGothic" w:hAnsi="MS PGothic"/>
          <w:sz w:val="12"/>
          <w:szCs w:val="12"/>
          <w:color w:val="auto"/>
        </w:rPr>
        <w:t>‑</w:t>
      </w:r>
      <w:r>
        <w:rPr>
          <w:rFonts w:ascii="Arial" w:cs="Arial" w:eastAsia="Arial" w:hAnsi="Arial"/>
          <w:sz w:val="12"/>
          <w:szCs w:val="12"/>
          <w:color w:val="auto"/>
        </w:rPr>
        <w:t>Based Award” shall mean any right granted under Section 6(e) of the Plan.</w:t>
      </w:r>
    </w:p>
    <w:p>
      <w:pPr>
        <w:spacing w:after="0" w:line="176" w:lineRule="exact"/>
        <w:rPr>
          <w:rFonts w:ascii="Arial" w:cs="Arial" w:eastAsia="Arial" w:hAnsi="Arial"/>
          <w:sz w:val="12"/>
          <w:szCs w:val="12"/>
          <w:color w:val="auto"/>
        </w:rPr>
      </w:pPr>
    </w:p>
    <w:p>
      <w:pPr>
        <w:ind w:left="1160" w:hanging="304"/>
        <w:spacing w:after="0"/>
        <w:tabs>
          <w:tab w:leader="none" w:pos="11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“Participant” shall mean an Eligible Person designated to be granted an Award under the Plan.</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“Person” shall mean any individual or entity, including a corporation, partnership, limited liability company, association, joint venture or trust.</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“Plan” shall mean this Apogee Enterprises, Inc. 2019 Stock Incentive Plan, as Amended and Restated (2021), as amended from time to time.</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“Prior Stock Plan” shall mean the Apogee Enterprises, Inc. 2009 Stock Incentive Plan, as amended.</w:t>
      </w:r>
    </w:p>
    <w:p>
      <w:pPr>
        <w:spacing w:after="0" w:line="150" w:lineRule="exact"/>
        <w:rPr>
          <w:sz w:val="20"/>
          <w:szCs w:val="20"/>
          <w:color w:val="auto"/>
        </w:rPr>
      </w:pPr>
    </w:p>
    <w:p>
      <w:pPr>
        <w:ind w:right="20" w:firstLine="856"/>
        <w:spacing w:after="0" w:line="286" w:lineRule="auto"/>
        <w:tabs>
          <w:tab w:leader="none" w:pos="1245" w:val="left"/>
        </w:tabs>
        <w:numPr>
          <w:ilvl w:val="0"/>
          <w:numId w:val="93"/>
        </w:numPr>
        <w:rPr>
          <w:rFonts w:ascii="Arial" w:cs="Arial" w:eastAsia="Arial" w:hAnsi="Arial"/>
          <w:sz w:val="12"/>
          <w:szCs w:val="12"/>
          <w:color w:val="auto"/>
        </w:rPr>
      </w:pPr>
      <w:r>
        <w:rPr>
          <w:rFonts w:ascii="Arial" w:cs="Arial" w:eastAsia="Arial" w:hAnsi="Arial"/>
          <w:sz w:val="12"/>
          <w:szCs w:val="12"/>
          <w:color w:val="auto"/>
        </w:rPr>
        <w:t>“Qualifying Termination” shall mean an Eligible Person’s termination of service under circumstances that are materially adverse to the Eligible Person (</w:t>
      </w:r>
      <w:r>
        <w:rPr>
          <w:rFonts w:ascii="Arial" w:cs="Arial" w:eastAsia="Arial" w:hAnsi="Arial"/>
          <w:sz w:val="12"/>
          <w:szCs w:val="12"/>
          <w:i w:val="1"/>
          <w:iCs w:val="1"/>
          <w:color w:val="auto"/>
        </w:rPr>
        <w:t>e.g</w:t>
      </w:r>
      <w:r>
        <w:rPr>
          <w:rFonts w:ascii="Arial" w:cs="Arial" w:eastAsia="Arial" w:hAnsi="Arial"/>
          <w:sz w:val="12"/>
          <w:szCs w:val="12"/>
          <w:color w:val="auto"/>
        </w:rPr>
        <w:t>., involuntary termination without cause or a voluntary resignation due to material adverse change in employment conditions).</w:t>
      </w:r>
    </w:p>
    <w:p>
      <w:pPr>
        <w:spacing w:after="0" w:line="103" w:lineRule="exact"/>
        <w:rPr>
          <w:rFonts w:ascii="Arial" w:cs="Arial" w:eastAsia="Arial" w:hAnsi="Arial"/>
          <w:sz w:val="12"/>
          <w:szCs w:val="12"/>
          <w:color w:val="auto"/>
        </w:rPr>
      </w:pPr>
    </w:p>
    <w:p>
      <w:pPr>
        <w:ind w:left="1200" w:hanging="344"/>
        <w:spacing w:after="0"/>
        <w:tabs>
          <w:tab w:leader="none" w:pos="12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“Restricted Stock” shall mean any Share granted under Section 6(c) of the Plan.</w:t>
      </w:r>
    </w:p>
    <w:p>
      <w:pPr>
        <w:spacing w:after="0" w:line="150" w:lineRule="exact"/>
        <w:rPr>
          <w:rFonts w:ascii="Arial" w:cs="Arial" w:eastAsia="Arial" w:hAnsi="Arial"/>
          <w:sz w:val="12"/>
          <w:szCs w:val="12"/>
          <w:color w:val="auto"/>
        </w:rPr>
      </w:pPr>
    </w:p>
    <w:p>
      <w:pPr>
        <w:ind w:left="1220" w:hanging="364"/>
        <w:spacing w:after="0"/>
        <w:tabs>
          <w:tab w:leader="none" w:pos="12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“Restricted Stock Unit” shall mean any unit granted under Section 6(c) of the Plan evidencing the right to receive a Share (or a cash payment equal to the Fair Market Value of a Share) at</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some future date.</w:t>
      </w:r>
    </w:p>
    <w:p>
      <w:pPr>
        <w:spacing w:after="0" w:line="138" w:lineRule="exact"/>
        <w:rPr>
          <w:rFonts w:ascii="Arial" w:cs="Arial" w:eastAsia="Arial" w:hAnsi="Arial"/>
          <w:sz w:val="12"/>
          <w:szCs w:val="12"/>
          <w:color w:val="auto"/>
        </w:rPr>
      </w:pPr>
    </w:p>
    <w:p>
      <w:pPr>
        <w:ind w:left="1200" w:hanging="344"/>
        <w:spacing w:after="0"/>
        <w:tabs>
          <w:tab w:leader="none" w:pos="12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“Retirement” shall mean an Eligible Person’s termination of service at or after attainment of age sixty-five (65) under such circumstances determined to constitute retirement by the Committee</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in its sole discretion.</w:t>
      </w:r>
    </w:p>
    <w:p>
      <w:pPr>
        <w:spacing w:after="0" w:line="138" w:lineRule="exact"/>
        <w:rPr>
          <w:rFonts w:ascii="Arial" w:cs="Arial" w:eastAsia="Arial" w:hAnsi="Arial"/>
          <w:sz w:val="12"/>
          <w:szCs w:val="12"/>
          <w:color w:val="auto"/>
        </w:rPr>
      </w:pPr>
    </w:p>
    <w:p>
      <w:pPr>
        <w:ind w:left="1200" w:hanging="344"/>
        <w:spacing w:after="0"/>
        <w:tabs>
          <w:tab w:leader="none" w:pos="12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“Rule 16b-3” shall mean Rule 16b-3 promulgated by the Securities and Exchange Commission under the Exchange Act or any successor rule or regulation.</w:t>
      </w:r>
    </w:p>
    <w:p>
      <w:pPr>
        <w:spacing w:after="0" w:line="150" w:lineRule="exact"/>
        <w:rPr>
          <w:rFonts w:ascii="Arial" w:cs="Arial" w:eastAsia="Arial" w:hAnsi="Arial"/>
          <w:sz w:val="12"/>
          <w:szCs w:val="12"/>
          <w:color w:val="auto"/>
        </w:rPr>
      </w:pPr>
    </w:p>
    <w:p>
      <w:pPr>
        <w:ind w:left="1140" w:hanging="284"/>
        <w:spacing w:after="0"/>
        <w:tabs>
          <w:tab w:leader="none" w:pos="11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“Section 409A” shall mean Section 409A of the Code, or any successor provision, and applicable Treasury Regulations and other applicable guidance thereunder.</w:t>
      </w:r>
    </w:p>
    <w:p>
      <w:pPr>
        <w:spacing w:after="0" w:line="150" w:lineRule="exact"/>
        <w:rPr>
          <w:rFonts w:ascii="Arial" w:cs="Arial" w:eastAsia="Arial" w:hAnsi="Arial"/>
          <w:sz w:val="12"/>
          <w:szCs w:val="12"/>
          <w:color w:val="auto"/>
        </w:rPr>
      </w:pPr>
    </w:p>
    <w:p>
      <w:pPr>
        <w:ind w:left="1200" w:hanging="344"/>
        <w:spacing w:after="0"/>
        <w:tabs>
          <w:tab w:leader="none" w:pos="12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“Shares” shall mean shares of Common Stock or such other securities or property as may become subject to Awards pursuant to an adjustment made under Section 4(c) of the Plan.</w:t>
      </w:r>
    </w:p>
    <w:p>
      <w:pPr>
        <w:spacing w:after="0" w:line="150" w:lineRule="exact"/>
        <w:rPr>
          <w:rFonts w:ascii="Arial" w:cs="Arial" w:eastAsia="Arial" w:hAnsi="Arial"/>
          <w:sz w:val="12"/>
          <w:szCs w:val="12"/>
          <w:color w:val="auto"/>
        </w:rPr>
      </w:pPr>
    </w:p>
    <w:p>
      <w:pPr>
        <w:ind w:left="1200" w:hanging="344"/>
        <w:spacing w:after="0"/>
        <w:tabs>
          <w:tab w:leader="none" w:pos="12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“Specified Employee” shall mean a specified employee as defined in Code Section 409A(a)(2)(B) or applicable proposed or final regulations under Code Section 409A.</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“Stock Appreciation Right” shall mean any right granted under Section 6(b)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04" w:name="page105"/>
    <w:bookmarkEnd w:id="104"/>
    <w:p>
      <w:pPr>
        <w:spacing w:after="0"/>
        <w:tabs>
          <w:tab w:leader="none" w:pos="64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2"/>
          <w:szCs w:val="12"/>
          <w:u w:val="single" w:color="auto"/>
          <w:color w:val="auto"/>
        </w:rPr>
        <w:t>Administration</w:t>
      </w:r>
      <w:r>
        <w:rPr>
          <w:rFonts w:ascii="Arial" w:cs="Arial" w:eastAsia="Arial" w:hAnsi="Arial"/>
          <w:sz w:val="12"/>
          <w:szCs w:val="12"/>
          <w:color w:val="auto"/>
        </w:rPr>
        <w:t>.</w:t>
      </w:r>
    </w:p>
    <w:p>
      <w:pPr>
        <w:spacing w:after="0" w:line="150" w:lineRule="exact"/>
        <w:rPr>
          <w:sz w:val="20"/>
          <w:szCs w:val="20"/>
          <w:color w:val="auto"/>
        </w:rPr>
      </w:pPr>
    </w:p>
    <w:p>
      <w:pPr>
        <w:ind w:right="20" w:firstLine="856"/>
        <w:spacing w:after="0" w:line="286" w:lineRule="auto"/>
        <w:tabs>
          <w:tab w:leader="none" w:pos="1173" w:val="left"/>
        </w:tabs>
        <w:numPr>
          <w:ilvl w:val="0"/>
          <w:numId w:val="94"/>
        </w:numPr>
        <w:rPr>
          <w:rFonts w:ascii="Arial" w:cs="Arial" w:eastAsia="Arial" w:hAnsi="Arial"/>
          <w:sz w:val="12"/>
          <w:szCs w:val="12"/>
          <w:color w:val="auto"/>
        </w:rPr>
      </w:pPr>
      <w:r>
        <w:rPr>
          <w:rFonts w:ascii="Arial" w:cs="Arial" w:eastAsia="Arial" w:hAnsi="Arial"/>
          <w:sz w:val="12"/>
          <w:szCs w:val="12"/>
          <w:color w:val="auto"/>
        </w:rPr>
        <w:t>Power and Authority of the Committee. The Plan shall be administered by the Committee. Subject to the express provisions of the Plan and to applicable law, the Committee shall have full power and authority to:</w:t>
      </w:r>
    </w:p>
    <w:p>
      <w:pPr>
        <w:spacing w:after="0" w:line="103" w:lineRule="exact"/>
        <w:rPr>
          <w:rFonts w:ascii="Arial" w:cs="Arial" w:eastAsia="Arial" w:hAnsi="Arial"/>
          <w:sz w:val="12"/>
          <w:szCs w:val="12"/>
          <w:color w:val="auto"/>
        </w:rPr>
      </w:pPr>
    </w:p>
    <w:p>
      <w:pPr>
        <w:ind w:left="1520" w:hanging="232"/>
        <w:spacing w:after="0"/>
        <w:tabs>
          <w:tab w:leader="none" w:pos="1520"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designate Participants;</w:t>
      </w:r>
    </w:p>
    <w:p>
      <w:pPr>
        <w:spacing w:after="0" w:line="150" w:lineRule="exact"/>
        <w:rPr>
          <w:rFonts w:ascii="Arial" w:cs="Arial" w:eastAsia="Arial" w:hAnsi="Arial"/>
          <w:sz w:val="12"/>
          <w:szCs w:val="12"/>
          <w:color w:val="auto"/>
        </w:rPr>
      </w:pPr>
    </w:p>
    <w:p>
      <w:pPr>
        <w:ind w:left="1560" w:hanging="272"/>
        <w:spacing w:after="0"/>
        <w:tabs>
          <w:tab w:leader="none" w:pos="1560"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determine the type or types of Awards to be granted to each Participant under the Plan;</w:t>
      </w:r>
    </w:p>
    <w:p>
      <w:pPr>
        <w:spacing w:after="0" w:line="150" w:lineRule="exact"/>
        <w:rPr>
          <w:rFonts w:ascii="Arial" w:cs="Arial" w:eastAsia="Arial" w:hAnsi="Arial"/>
          <w:sz w:val="12"/>
          <w:szCs w:val="12"/>
          <w:color w:val="auto"/>
        </w:rPr>
      </w:pPr>
    </w:p>
    <w:p>
      <w:pPr>
        <w:ind w:left="1580" w:hanging="292"/>
        <w:spacing w:after="0"/>
        <w:tabs>
          <w:tab w:leader="none" w:pos="1580"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determine the number of Shares to be covered by (or the method by which payments or other rights are to be calculated in connection with) each Award;</w:t>
      </w:r>
    </w:p>
    <w:p>
      <w:pPr>
        <w:spacing w:after="0" w:line="150" w:lineRule="exact"/>
        <w:rPr>
          <w:rFonts w:ascii="Arial" w:cs="Arial" w:eastAsia="Arial" w:hAnsi="Arial"/>
          <w:sz w:val="12"/>
          <w:szCs w:val="12"/>
          <w:color w:val="auto"/>
        </w:rPr>
      </w:pPr>
    </w:p>
    <w:p>
      <w:pPr>
        <w:ind w:firstLine="1288"/>
        <w:spacing w:after="0" w:line="286" w:lineRule="auto"/>
        <w:tabs>
          <w:tab w:leader="none" w:pos="1608"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determine the terms and conditions of any Award or Award Agreement, including any terms relating to the forfeiture of any Award and the forfeiture, recapture or disgorgement of any cash, Shares or other amounts payable with respect to any Award;</w:t>
      </w:r>
    </w:p>
    <w:p>
      <w:pPr>
        <w:spacing w:after="0" w:line="103" w:lineRule="exact"/>
        <w:rPr>
          <w:rFonts w:ascii="Arial" w:cs="Arial" w:eastAsia="Arial" w:hAnsi="Arial"/>
          <w:sz w:val="12"/>
          <w:szCs w:val="12"/>
          <w:color w:val="auto"/>
        </w:rPr>
      </w:pPr>
    </w:p>
    <w:p>
      <w:pPr>
        <w:ind w:left="1560" w:hanging="272"/>
        <w:spacing w:after="0"/>
        <w:tabs>
          <w:tab w:leader="none" w:pos="1560" w:val="left"/>
        </w:tabs>
        <w:numPr>
          <w:ilvl w:val="1"/>
          <w:numId w:val="94"/>
        </w:numPr>
        <w:rPr>
          <w:rFonts w:ascii="Arial" w:cs="Arial" w:eastAsia="Arial" w:hAnsi="Arial"/>
          <w:sz w:val="12"/>
          <w:szCs w:val="12"/>
          <w:color w:val="auto"/>
        </w:rPr>
      </w:pPr>
      <w:r>
        <w:rPr>
          <w:rFonts w:ascii="Arial" w:cs="Arial" w:eastAsia="Arial" w:hAnsi="Arial"/>
          <w:sz w:val="12"/>
          <w:szCs w:val="12"/>
          <w:color w:val="auto"/>
        </w:rPr>
        <w:t>amend the terms and conditions of any Award or Award Agreement, subject to the limitations under Sections 6 and 7;</w:t>
      </w:r>
    </w:p>
    <w:p>
      <w:pPr>
        <w:spacing w:after="0" w:line="150" w:lineRule="exact"/>
        <w:rPr>
          <w:rFonts w:ascii="Arial" w:cs="Arial" w:eastAsia="Arial" w:hAnsi="Arial"/>
          <w:sz w:val="12"/>
          <w:szCs w:val="12"/>
          <w:color w:val="auto"/>
        </w:rPr>
      </w:pPr>
    </w:p>
    <w:p>
      <w:pPr>
        <w:ind w:left="1580" w:hanging="292"/>
        <w:spacing w:after="0"/>
        <w:tabs>
          <w:tab w:leader="none" w:pos="1580" w:val="left"/>
        </w:tabs>
        <w:numPr>
          <w:ilvl w:val="1"/>
          <w:numId w:val="94"/>
        </w:numPr>
        <w:rPr>
          <w:rFonts w:ascii="Arial" w:cs="Arial" w:eastAsia="Arial" w:hAnsi="Arial"/>
          <w:sz w:val="12"/>
          <w:szCs w:val="12"/>
          <w:color w:val="auto"/>
        </w:rPr>
      </w:pPr>
      <w:r>
        <w:rPr>
          <w:rFonts w:ascii="Arial" w:cs="Arial" w:eastAsia="Arial" w:hAnsi="Arial"/>
          <w:sz w:val="12"/>
          <w:szCs w:val="12"/>
          <w:color w:val="auto"/>
        </w:rPr>
        <w:t>accelerate the exercisability of any Award or the lapse of any restrictions relating to any Award, subject to the limitations under Sections 6 and 7;</w:t>
      </w:r>
    </w:p>
    <w:p>
      <w:pPr>
        <w:spacing w:after="0" w:line="150" w:lineRule="exact"/>
        <w:rPr>
          <w:rFonts w:ascii="Arial" w:cs="Arial" w:eastAsia="Arial" w:hAnsi="Arial"/>
          <w:sz w:val="12"/>
          <w:szCs w:val="12"/>
          <w:color w:val="auto"/>
        </w:rPr>
      </w:pPr>
    </w:p>
    <w:p>
      <w:pPr>
        <w:ind w:left="1620" w:hanging="332"/>
        <w:spacing w:after="0"/>
        <w:tabs>
          <w:tab w:leader="none" w:pos="1620"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Awards may be exercised in cash or Shares, canceled, forfeited or suspended;</w:t>
      </w:r>
    </w:p>
    <w:p>
      <w:pPr>
        <w:spacing w:after="0" w:line="150" w:lineRule="exact"/>
        <w:rPr>
          <w:rFonts w:ascii="Arial" w:cs="Arial" w:eastAsia="Arial" w:hAnsi="Arial"/>
          <w:sz w:val="12"/>
          <w:szCs w:val="12"/>
          <w:color w:val="auto"/>
        </w:rPr>
      </w:pPr>
    </w:p>
    <w:p>
      <w:pPr>
        <w:ind w:firstLine="1288"/>
        <w:spacing w:after="0" w:line="286" w:lineRule="auto"/>
        <w:tabs>
          <w:tab w:leader="none" w:pos="1654"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amounts payable with respect to an Award under the Plan shall be deferred either automatically or at the election of the holder thereof or the Committee, subject to the requirements of Section 409A and Section 6;</w:t>
      </w:r>
    </w:p>
    <w:p>
      <w:pPr>
        <w:spacing w:after="0" w:line="103" w:lineRule="exact"/>
        <w:rPr>
          <w:rFonts w:ascii="Arial" w:cs="Arial" w:eastAsia="Arial" w:hAnsi="Arial"/>
          <w:sz w:val="12"/>
          <w:szCs w:val="12"/>
          <w:color w:val="auto"/>
        </w:rPr>
      </w:pPr>
    </w:p>
    <w:p>
      <w:pPr>
        <w:ind w:left="1580" w:hanging="292"/>
        <w:spacing w:after="0"/>
        <w:tabs>
          <w:tab w:leader="none" w:pos="1580" w:val="left"/>
        </w:tabs>
        <w:numPr>
          <w:ilvl w:val="1"/>
          <w:numId w:val="94"/>
        </w:numPr>
        <w:rPr>
          <w:rFonts w:ascii="Arial" w:cs="Arial" w:eastAsia="Arial" w:hAnsi="Arial"/>
          <w:sz w:val="12"/>
          <w:szCs w:val="12"/>
          <w:color w:val="auto"/>
        </w:rPr>
      </w:pPr>
      <w:r>
        <w:rPr>
          <w:rFonts w:ascii="Arial" w:cs="Arial" w:eastAsia="Arial" w:hAnsi="Arial"/>
          <w:sz w:val="12"/>
          <w:szCs w:val="12"/>
          <w:color w:val="auto"/>
        </w:rPr>
        <w:t>interpret and administer the Plan and any instrument or agreement, including an Award Agreement, relating to the Plan;</w:t>
      </w:r>
    </w:p>
    <w:p>
      <w:pPr>
        <w:spacing w:after="0" w:line="150" w:lineRule="exact"/>
        <w:rPr>
          <w:rFonts w:ascii="Arial" w:cs="Arial" w:eastAsia="Arial" w:hAnsi="Arial"/>
          <w:sz w:val="12"/>
          <w:szCs w:val="12"/>
          <w:color w:val="auto"/>
        </w:rPr>
      </w:pPr>
    </w:p>
    <w:p>
      <w:pPr>
        <w:ind w:left="1560" w:hanging="272"/>
        <w:spacing w:after="0"/>
        <w:tabs>
          <w:tab w:leader="none" w:pos="1560" w:val="left"/>
        </w:tabs>
        <w:numPr>
          <w:ilvl w:val="1"/>
          <w:numId w:val="94"/>
        </w:numPr>
        <w:rPr>
          <w:rFonts w:ascii="Arial" w:cs="Arial" w:eastAsia="Arial" w:hAnsi="Arial"/>
          <w:sz w:val="12"/>
          <w:szCs w:val="12"/>
          <w:color w:val="auto"/>
        </w:rPr>
      </w:pPr>
      <w:r>
        <w:rPr>
          <w:rFonts w:ascii="Arial" w:cs="Arial" w:eastAsia="Arial" w:hAnsi="Arial"/>
          <w:sz w:val="12"/>
          <w:szCs w:val="12"/>
          <w:color w:val="auto"/>
        </w:rPr>
        <w:t>establish, amend, suspend or waive such rules and regulations and appoint such agents as it shall deem appropriate for the proper administration of the Plan;</w:t>
      </w:r>
    </w:p>
    <w:p>
      <w:pPr>
        <w:spacing w:after="0" w:line="150" w:lineRule="exact"/>
        <w:rPr>
          <w:rFonts w:ascii="Arial" w:cs="Arial" w:eastAsia="Arial" w:hAnsi="Arial"/>
          <w:sz w:val="12"/>
          <w:szCs w:val="12"/>
          <w:color w:val="auto"/>
        </w:rPr>
      </w:pPr>
    </w:p>
    <w:p>
      <w:pPr>
        <w:ind w:left="1580" w:hanging="292"/>
        <w:spacing w:after="0"/>
        <w:tabs>
          <w:tab w:leader="none" w:pos="1580" w:val="left"/>
        </w:tabs>
        <w:numPr>
          <w:ilvl w:val="1"/>
          <w:numId w:val="94"/>
        </w:numPr>
        <w:rPr>
          <w:rFonts w:ascii="Arial" w:cs="Arial" w:eastAsia="Arial" w:hAnsi="Arial"/>
          <w:sz w:val="12"/>
          <w:szCs w:val="12"/>
          <w:color w:val="auto"/>
        </w:rPr>
      </w:pPr>
      <w:r>
        <w:rPr>
          <w:rFonts w:ascii="Arial" w:cs="Arial" w:eastAsia="Arial" w:hAnsi="Arial"/>
          <w:sz w:val="12"/>
          <w:szCs w:val="12"/>
          <w:color w:val="auto"/>
        </w:rPr>
        <w:t>make any other determination and take any other action that the Committee deems necessary or desirable for the administration of the Plan; and</w:t>
      </w:r>
    </w:p>
    <w:p>
      <w:pPr>
        <w:spacing w:after="0" w:line="150" w:lineRule="exact"/>
        <w:rPr>
          <w:rFonts w:ascii="Arial" w:cs="Arial" w:eastAsia="Arial" w:hAnsi="Arial"/>
          <w:sz w:val="12"/>
          <w:szCs w:val="12"/>
          <w:color w:val="auto"/>
        </w:rPr>
      </w:pPr>
    </w:p>
    <w:p>
      <w:pPr>
        <w:jc w:val="both"/>
        <w:ind w:firstLine="1288"/>
        <w:spacing w:after="0" w:line="155" w:lineRule="exact"/>
        <w:tabs>
          <w:tab w:leader="none" w:pos="1622" w:val="left"/>
        </w:tabs>
        <w:numPr>
          <w:ilvl w:val="1"/>
          <w:numId w:val="94"/>
        </w:numPr>
        <w:rPr>
          <w:rFonts w:ascii="Arial" w:cs="Arial" w:eastAsia="Arial" w:hAnsi="Arial"/>
          <w:sz w:val="12"/>
          <w:szCs w:val="12"/>
          <w:color w:val="auto"/>
        </w:rPr>
      </w:pPr>
      <w:r>
        <w:rPr>
          <w:rFonts w:ascii="Arial" w:cs="Arial" w:eastAsia="Arial" w:hAnsi="Arial"/>
          <w:sz w:val="12"/>
          <w:szCs w:val="12"/>
          <w:color w:val="auto"/>
        </w:rPr>
        <w:t>adopt such modifications, rules, procedures and subplans as may be necessary or desirable to comply with provisions of the laws of non-U.S. jurisdictions in which the Company or an Affiliate may operate, including, without limitation, establishing any special rules for Affiliates, Eligible Persons or Participants located in any particular country, in order to meet the objectives of the Plan and to ensure the viability of the intended benefits of Awards granted to Participants located in such non</w:t>
      </w:r>
      <w:r>
        <w:rPr>
          <w:rFonts w:ascii="MS PGothic" w:cs="MS PGothic" w:eastAsia="MS PGothic" w:hAnsi="MS PGothic"/>
          <w:sz w:val="12"/>
          <w:szCs w:val="12"/>
          <w:color w:val="auto"/>
        </w:rPr>
        <w:t>‑</w:t>
      </w:r>
      <w:r>
        <w:rPr>
          <w:rFonts w:ascii="Arial" w:cs="Arial" w:eastAsia="Arial" w:hAnsi="Arial"/>
          <w:sz w:val="12"/>
          <w:szCs w:val="12"/>
          <w:color w:val="auto"/>
        </w:rPr>
        <w:t>United States jurisdictions.</w:t>
      </w:r>
    </w:p>
    <w:p>
      <w:pPr>
        <w:spacing w:after="0" w:line="114" w:lineRule="exact"/>
        <w:rPr>
          <w:sz w:val="20"/>
          <w:szCs w:val="20"/>
          <w:color w:val="auto"/>
        </w:rPr>
      </w:pPr>
    </w:p>
    <w:p>
      <w:pPr>
        <w:jc w:val="both"/>
        <w:ind w:right="20" w:firstLine="864"/>
        <w:spacing w:after="0" w:line="268" w:lineRule="auto"/>
        <w:rPr>
          <w:sz w:val="20"/>
          <w:szCs w:val="20"/>
          <w:color w:val="auto"/>
        </w:rPr>
      </w:pPr>
      <w:r>
        <w:rPr>
          <w:rFonts w:ascii="Arial" w:cs="Arial" w:eastAsia="Arial" w:hAnsi="Arial"/>
          <w:sz w:val="12"/>
          <w:szCs w:val="12"/>
          <w:color w:val="auto"/>
        </w:rPr>
        <w:t>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any Participant, any holder or beneficiary of any Award or Award Agreement, and any employee of the Company or any Affiliate.</w:t>
      </w:r>
    </w:p>
    <w:p>
      <w:pPr>
        <w:spacing w:after="0" w:line="114" w:lineRule="exact"/>
        <w:rPr>
          <w:sz w:val="20"/>
          <w:szCs w:val="20"/>
          <w:color w:val="auto"/>
        </w:rPr>
      </w:pPr>
    </w:p>
    <w:p>
      <w:pPr>
        <w:jc w:val="both"/>
        <w:ind w:firstLine="856"/>
        <w:spacing w:after="0" w:line="268" w:lineRule="auto"/>
        <w:tabs>
          <w:tab w:leader="none" w:pos="1144"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Delegation. The Committee may delegate its powers and duties under the Plan to one or more Directors (including a Director who is also an officer of the Company) or a committee of Directors and may authorize one or more officers of the Company to grant Awards under the Plan, subject to such terms, conditions and limitations as the Committee may establish in its sole discretion;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Committee shall not delegate its powers and duties under the Plan with regard to officers of the Company or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05" w:name="page106"/>
    <w:bookmarkEnd w:id="105"/>
    <w:p>
      <w:pPr>
        <w:ind w:left="8"/>
        <w:spacing w:after="0"/>
        <w:rPr>
          <w:sz w:val="20"/>
          <w:szCs w:val="20"/>
          <w:color w:val="auto"/>
        </w:rPr>
      </w:pPr>
      <w:r>
        <w:rPr>
          <w:rFonts w:ascii="Arial" w:cs="Arial" w:eastAsia="Arial" w:hAnsi="Arial"/>
          <w:sz w:val="12"/>
          <w:szCs w:val="12"/>
          <w:color w:val="auto"/>
        </w:rPr>
        <w:t>any Affiliate who are subject to Section 16 of the Exchange Act, and such delegation shall otherwise comply with applicable law and exchange requirements.</w:t>
      </w:r>
    </w:p>
    <w:p>
      <w:pPr>
        <w:spacing w:after="0" w:line="150" w:lineRule="exact"/>
        <w:rPr>
          <w:sz w:val="20"/>
          <w:szCs w:val="20"/>
          <w:color w:val="auto"/>
        </w:rPr>
      </w:pPr>
    </w:p>
    <w:p>
      <w:pPr>
        <w:jc w:val="both"/>
        <w:ind w:left="8" w:firstLine="856"/>
        <w:spacing w:after="0" w:line="268" w:lineRule="auto"/>
        <w:tabs>
          <w:tab w:leader="none" w:pos="1170" w:val="left"/>
        </w:tabs>
        <w:numPr>
          <w:ilvl w:val="0"/>
          <w:numId w:val="96"/>
        </w:numPr>
        <w:rPr>
          <w:rFonts w:ascii="Arial" w:cs="Arial" w:eastAsia="Arial" w:hAnsi="Arial"/>
          <w:sz w:val="12"/>
          <w:szCs w:val="12"/>
          <w:color w:val="auto"/>
        </w:rPr>
      </w:pPr>
      <w:r>
        <w:rPr>
          <w:rFonts w:ascii="Arial" w:cs="Arial" w:eastAsia="Arial" w:hAnsi="Arial"/>
          <w:sz w:val="12"/>
          <w:szCs w:val="12"/>
          <w:color w:val="auto"/>
        </w:rPr>
        <w:t>Power and Authority of the Board. Notwithstanding anything to the contrary contained herein, the Board may, at any time and from time to time, without any further action of the Committee, exercise the powers and duties of the Committee under the Plan, unless the exercise of such powers and duties by the Board would cause the Plan not to comply with the requirements of Rule 16b-3 or applicable law or exchange requirements.</w:t>
      </w:r>
    </w:p>
    <w:p>
      <w:pPr>
        <w:spacing w:after="0" w:line="114" w:lineRule="exact"/>
        <w:rPr>
          <w:sz w:val="20"/>
          <w:szCs w:val="20"/>
          <w:color w:val="auto"/>
        </w:rPr>
      </w:pPr>
    </w:p>
    <w:p>
      <w:pPr>
        <w:ind w:left="8"/>
        <w:spacing w:after="0"/>
        <w:tabs>
          <w:tab w:leader="none" w:pos="648" w:val="left"/>
        </w:tabs>
        <w:rPr>
          <w:sz w:val="20"/>
          <w:szCs w:val="20"/>
          <w:color w:val="auto"/>
        </w:rPr>
      </w:pPr>
      <w:r>
        <w:rPr>
          <w:rFonts w:ascii="Arial" w:cs="Arial" w:eastAsia="Arial" w:hAnsi="Arial"/>
          <w:sz w:val="12"/>
          <w:szCs w:val="12"/>
          <w:color w:val="auto"/>
        </w:rPr>
        <w:t>Section 4.</w:t>
      </w:r>
      <w:r>
        <w:rPr>
          <w:sz w:val="20"/>
          <w:szCs w:val="20"/>
          <w:color w:val="auto"/>
        </w:rPr>
        <w:tab/>
      </w:r>
      <w:r>
        <w:rPr>
          <w:rFonts w:ascii="Arial" w:cs="Arial" w:eastAsia="Arial" w:hAnsi="Arial"/>
          <w:sz w:val="11"/>
          <w:szCs w:val="11"/>
          <w:u w:val="single" w:color="auto"/>
          <w:color w:val="auto"/>
        </w:rPr>
        <w:t>Shares Available for Awards</w:t>
      </w:r>
      <w:r>
        <w:rPr>
          <w:rFonts w:ascii="Arial" w:cs="Arial" w:eastAsia="Arial" w:hAnsi="Arial"/>
          <w:sz w:val="11"/>
          <w:szCs w:val="11"/>
          <w:color w:val="auto"/>
        </w:rPr>
        <w:t>.</w:t>
      </w:r>
    </w:p>
    <w:p>
      <w:pPr>
        <w:spacing w:after="0" w:line="150" w:lineRule="exact"/>
        <w:rPr>
          <w:sz w:val="20"/>
          <w:szCs w:val="20"/>
          <w:color w:val="auto"/>
        </w:rPr>
      </w:pPr>
    </w:p>
    <w:p>
      <w:pPr>
        <w:jc w:val="both"/>
        <w:ind w:left="8" w:firstLine="856"/>
        <w:spacing w:after="0" w:line="262" w:lineRule="auto"/>
        <w:tabs>
          <w:tab w:leader="none" w:pos="117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Shares Available. Subject to adjustment as provided in Section 4(c) of the Plan, the aggregate number of Shares that may be issued under all Awards under the Plan shall equal 2,950,000. The aggregate number of Shares that may be issued under all Awards under the Plan shall be reduced by Shares subject to Awards issued under the Plan in accordance with the Share counting rules described in Section 4(b) below. On and after shareholder approval of this Plan, no awards shall be granted under the Prior Stock Plan, but all outstanding awards previously granted under the Prior Stock Plan shall remain outstanding and subject to the terms of the Prior Stock Plan.</w:t>
      </w:r>
    </w:p>
    <w:p>
      <w:pPr>
        <w:spacing w:after="0" w:line="117" w:lineRule="exact"/>
        <w:rPr>
          <w:rFonts w:ascii="Arial" w:cs="Arial" w:eastAsia="Arial" w:hAnsi="Arial"/>
          <w:sz w:val="12"/>
          <w:szCs w:val="12"/>
          <w:color w:val="auto"/>
        </w:rPr>
      </w:pPr>
    </w:p>
    <w:p>
      <w:pPr>
        <w:ind w:left="8" w:firstLine="856"/>
        <w:spacing w:after="0" w:line="286" w:lineRule="auto"/>
        <w:tabs>
          <w:tab w:leader="none" w:pos="1152" w:val="left"/>
        </w:tabs>
        <w:numPr>
          <w:ilvl w:val="1"/>
          <w:numId w:val="97"/>
        </w:numPr>
        <w:rPr>
          <w:rFonts w:ascii="Arial" w:cs="Arial" w:eastAsia="Arial" w:hAnsi="Arial"/>
          <w:sz w:val="12"/>
          <w:szCs w:val="12"/>
          <w:color w:val="auto"/>
        </w:rPr>
      </w:pPr>
      <w:r>
        <w:rPr>
          <w:rFonts w:ascii="Arial" w:cs="Arial" w:eastAsia="Arial" w:hAnsi="Arial"/>
          <w:sz w:val="12"/>
          <w:szCs w:val="12"/>
          <w:color w:val="auto"/>
        </w:rPr>
        <w:t>Counting Shares. Except as set forth below in this Section 4(b), if an Award entitles the holder thereof to receive or purchase Shares, the number of Shares covered by such Award or to which such Award relates shall be counted on the date of grant of such Award against the aggregate number of Shares available for granting Awards under the Plan.</w:t>
      </w:r>
    </w:p>
    <w:p>
      <w:pPr>
        <w:spacing w:after="0" w:line="103" w:lineRule="exact"/>
        <w:rPr>
          <w:rFonts w:ascii="Arial" w:cs="Arial" w:eastAsia="Arial" w:hAnsi="Arial"/>
          <w:sz w:val="12"/>
          <w:szCs w:val="12"/>
          <w:color w:val="auto"/>
        </w:rPr>
      </w:pPr>
    </w:p>
    <w:p>
      <w:pPr>
        <w:jc w:val="both"/>
        <w:ind w:left="8" w:right="20" w:firstLine="1288"/>
        <w:spacing w:after="0" w:line="268" w:lineRule="auto"/>
        <w:tabs>
          <w:tab w:leader="none" w:pos="1544" w:val="left"/>
        </w:tabs>
        <w:numPr>
          <w:ilvl w:val="2"/>
          <w:numId w:val="97"/>
        </w:numPr>
        <w:rPr>
          <w:rFonts w:ascii="Arial" w:cs="Arial" w:eastAsia="Arial" w:hAnsi="Arial"/>
          <w:sz w:val="12"/>
          <w:szCs w:val="12"/>
          <w:color w:val="auto"/>
        </w:rPr>
      </w:pPr>
      <w:r>
        <w:rPr>
          <w:rFonts w:ascii="Arial" w:cs="Arial" w:eastAsia="Arial" w:hAnsi="Arial"/>
          <w:sz w:val="12"/>
          <w:szCs w:val="12"/>
          <w:color w:val="auto"/>
        </w:rPr>
        <w:t>Shares Added Back to Reserve. Subject to the limitations in Section 4(b)(ii) below, if any Shares covered by an Award or to which an Award relates are not purchased or are forfeited or are reacquired by the Company, or if an Award otherwise terminates or is cancelled without delivery of any Shares, then the number of Shares counted against the aggregate number of Shares available under the Plan with respect to such Award, to the extent of any such forfeiture, reacquisition by the Company, termination or cancellation, shall again be available for granting Awards under the Plan.</w:t>
      </w:r>
    </w:p>
    <w:p>
      <w:pPr>
        <w:spacing w:after="0" w:line="113" w:lineRule="exact"/>
        <w:rPr>
          <w:rFonts w:ascii="Arial" w:cs="Arial" w:eastAsia="Arial" w:hAnsi="Arial"/>
          <w:sz w:val="12"/>
          <w:szCs w:val="12"/>
          <w:color w:val="auto"/>
        </w:rPr>
      </w:pPr>
    </w:p>
    <w:p>
      <w:pPr>
        <w:ind w:left="1568" w:hanging="272"/>
        <w:spacing w:after="0"/>
        <w:tabs>
          <w:tab w:leader="none" w:pos="1568" w:val="left"/>
        </w:tabs>
        <w:numPr>
          <w:ilvl w:val="2"/>
          <w:numId w:val="97"/>
        </w:numPr>
        <w:rPr>
          <w:rFonts w:ascii="Arial" w:cs="Arial" w:eastAsia="Arial" w:hAnsi="Arial"/>
          <w:sz w:val="11"/>
          <w:szCs w:val="11"/>
          <w:color w:val="auto"/>
        </w:rPr>
      </w:pPr>
      <w:r>
        <w:rPr>
          <w:rFonts w:ascii="Arial" w:cs="Arial" w:eastAsia="Arial" w:hAnsi="Arial"/>
          <w:sz w:val="11"/>
          <w:szCs w:val="11"/>
          <w:color w:val="auto"/>
        </w:rPr>
        <w:t>Shares Not Added Back to Reserve. Notwithstanding anything to the contrary in Section 4(b)(i) above, the following Shares will not again become available for issuance under the Plan:</w:t>
      </w:r>
    </w:p>
    <w:p>
      <w:pPr>
        <w:spacing w:after="0" w:line="29" w:lineRule="exact"/>
        <w:rPr>
          <w:rFonts w:ascii="Arial" w:cs="Arial" w:eastAsia="Arial" w:hAnsi="Arial"/>
          <w:sz w:val="11"/>
          <w:szCs w:val="11"/>
          <w:color w:val="auto"/>
        </w:rPr>
      </w:pPr>
    </w:p>
    <w:p>
      <w:pPr>
        <w:jc w:val="both"/>
        <w:ind w:left="8" w:hanging="8"/>
        <w:spacing w:after="0" w:line="145" w:lineRule="exact"/>
        <w:tabs>
          <w:tab w:leader="none" w:pos="203" w:val="left"/>
        </w:tabs>
        <w:numPr>
          <w:ilvl w:val="0"/>
          <w:numId w:val="98"/>
        </w:numPr>
        <w:rPr>
          <w:rFonts w:ascii="Arial" w:cs="Arial" w:eastAsia="Arial" w:hAnsi="Arial"/>
          <w:sz w:val="12"/>
          <w:szCs w:val="12"/>
          <w:color w:val="auto"/>
        </w:rPr>
      </w:pPr>
      <w:r>
        <w:rPr>
          <w:rFonts w:ascii="Arial" w:cs="Arial" w:eastAsia="Arial" w:hAnsi="Arial"/>
          <w:sz w:val="12"/>
          <w:szCs w:val="12"/>
          <w:color w:val="auto"/>
        </w:rPr>
        <w:t>any Shares which would have been issued upon any exercise of an Option but for the fact that the exercise price was paid by a “net exercise” pursuant to Section 6(a)(iii)(B) or any Shares tendered in payment of the exercise price of an Option; (B) any Shares withheld by the Company or Shares tendered to satisfy any tax withholding obligation with respect to an Award; (C) Shares granted as a stock</w:t>
      </w:r>
      <w:r>
        <w:rPr>
          <w:rFonts w:ascii="MS PGothic" w:cs="MS PGothic" w:eastAsia="MS PGothic" w:hAnsi="MS PGothic"/>
          <w:sz w:val="12"/>
          <w:szCs w:val="12"/>
          <w:color w:val="auto"/>
        </w:rPr>
        <w:t>‑</w:t>
      </w:r>
      <w:r>
        <w:rPr>
          <w:rFonts w:ascii="Arial" w:cs="Arial" w:eastAsia="Arial" w:hAnsi="Arial"/>
          <w:sz w:val="12"/>
          <w:szCs w:val="12"/>
          <w:color w:val="auto"/>
        </w:rPr>
        <w:t>settled Stock Appreciation Right issued under the Plan that are not issued in connection with settlement in Shares upon exercise; or (D) Shares that are repurchased by the Company using Option exercise proceeds.</w:t>
      </w:r>
    </w:p>
    <w:p>
      <w:pPr>
        <w:spacing w:after="0" w:line="131" w:lineRule="exact"/>
        <w:rPr>
          <w:rFonts w:ascii="Arial" w:cs="Arial" w:eastAsia="Arial" w:hAnsi="Arial"/>
          <w:sz w:val="12"/>
          <w:szCs w:val="12"/>
          <w:color w:val="auto"/>
        </w:rPr>
      </w:pPr>
    </w:p>
    <w:p>
      <w:pPr>
        <w:ind w:left="1628" w:hanging="332"/>
        <w:spacing w:after="0"/>
        <w:tabs>
          <w:tab w:leader="none" w:pos="1628" w:val="left"/>
        </w:tabs>
        <w:numPr>
          <w:ilvl w:val="2"/>
          <w:numId w:val="98"/>
        </w:numPr>
        <w:rPr>
          <w:rFonts w:ascii="Arial" w:cs="Arial" w:eastAsia="Arial" w:hAnsi="Arial"/>
          <w:sz w:val="12"/>
          <w:szCs w:val="12"/>
          <w:color w:val="auto"/>
        </w:rPr>
      </w:pPr>
      <w:r>
        <w:rPr>
          <w:rFonts w:ascii="Arial" w:cs="Arial" w:eastAsia="Arial" w:hAnsi="Arial"/>
          <w:sz w:val="12"/>
          <w:szCs w:val="12"/>
          <w:color w:val="auto"/>
        </w:rPr>
        <w:t>Cash Only Awards. Awards that do not entitle the holder thereof to receive or purchase Shares shall not be counted against the aggregate number of Shares available for Awards</w:t>
      </w:r>
    </w:p>
    <w:p>
      <w:pPr>
        <w:spacing w:after="0" w:line="18"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under the Plan.</w:t>
      </w:r>
    </w:p>
    <w:p>
      <w:pPr>
        <w:spacing w:after="0" w:line="138" w:lineRule="exact"/>
        <w:rPr>
          <w:rFonts w:ascii="Arial" w:cs="Arial" w:eastAsia="Arial" w:hAnsi="Arial"/>
          <w:sz w:val="12"/>
          <w:szCs w:val="12"/>
          <w:color w:val="auto"/>
        </w:rPr>
      </w:pPr>
    </w:p>
    <w:p>
      <w:pPr>
        <w:ind w:left="8" w:firstLine="1288"/>
        <w:spacing w:after="0" w:line="286" w:lineRule="auto"/>
        <w:tabs>
          <w:tab w:leader="none" w:pos="1615" w:val="left"/>
        </w:tabs>
        <w:numPr>
          <w:ilvl w:val="2"/>
          <w:numId w:val="98"/>
        </w:numPr>
        <w:rPr>
          <w:rFonts w:ascii="Arial" w:cs="Arial" w:eastAsia="Arial" w:hAnsi="Arial"/>
          <w:sz w:val="12"/>
          <w:szCs w:val="12"/>
          <w:color w:val="auto"/>
        </w:rPr>
      </w:pPr>
      <w:r>
        <w:rPr>
          <w:rFonts w:ascii="Arial" w:cs="Arial" w:eastAsia="Arial" w:hAnsi="Arial"/>
          <w:sz w:val="12"/>
          <w:szCs w:val="12"/>
          <w:color w:val="auto"/>
        </w:rPr>
        <w:t>Substitute Awards Relating to Acquired Entities. Shares issued under Awards granted in substitution for awards previously granted by an entity that is acquired by or merged with the Company or an Affiliate shall not be counted against the aggregate number of Shares available for Awards under the Plan.</w:t>
      </w:r>
    </w:p>
    <w:p>
      <w:pPr>
        <w:spacing w:after="0" w:line="103" w:lineRule="exact"/>
        <w:rPr>
          <w:rFonts w:ascii="Arial" w:cs="Arial" w:eastAsia="Arial" w:hAnsi="Arial"/>
          <w:sz w:val="12"/>
          <w:szCs w:val="12"/>
          <w:color w:val="auto"/>
        </w:rPr>
      </w:pPr>
    </w:p>
    <w:p>
      <w:pPr>
        <w:jc w:val="both"/>
        <w:ind w:left="8" w:firstLine="856"/>
        <w:spacing w:after="0" w:line="147" w:lineRule="exact"/>
        <w:tabs>
          <w:tab w:leader="none" w:pos="1160" w:val="left"/>
        </w:tabs>
        <w:numPr>
          <w:ilvl w:val="1"/>
          <w:numId w:val="98"/>
        </w:numPr>
        <w:rPr>
          <w:rFonts w:ascii="Arial" w:cs="Arial" w:eastAsia="Arial" w:hAnsi="Arial"/>
          <w:sz w:val="12"/>
          <w:szCs w:val="12"/>
          <w:color w:val="auto"/>
        </w:rPr>
      </w:pPr>
      <w:r>
        <w:rPr>
          <w:rFonts w:ascii="Arial" w:cs="Arial" w:eastAsia="Arial" w:hAnsi="Arial"/>
          <w:sz w:val="12"/>
          <w:szCs w:val="12"/>
          <w:color w:val="auto"/>
        </w:rPr>
        <w:t>Adjustments. In the event that any dividend (other than a regular cash dividend) or other distribution (whether in the form of cash, Shares, other securities or other property), recapitalization, stock split, reverse stock split, reorganization, merger, consolidation, split</w:t>
      </w:r>
      <w:r>
        <w:rPr>
          <w:rFonts w:ascii="MS PGothic" w:cs="MS PGothic" w:eastAsia="MS PGothic" w:hAnsi="MS PGothic"/>
          <w:sz w:val="12"/>
          <w:szCs w:val="12"/>
          <w:color w:val="auto"/>
        </w:rPr>
        <w:t>‑</w:t>
      </w:r>
      <w:r>
        <w:rPr>
          <w:rFonts w:ascii="Arial" w:cs="Arial" w:eastAsia="Arial" w:hAnsi="Arial"/>
          <w:sz w:val="12"/>
          <w:szCs w:val="12"/>
          <w:color w:val="auto"/>
        </w:rPr>
        <w:t>up, spin</w:t>
      </w:r>
      <w:r>
        <w:rPr>
          <w:rFonts w:ascii="MS PGothic" w:cs="MS PGothic" w:eastAsia="MS PGothic" w:hAnsi="MS PGothic"/>
          <w:sz w:val="12"/>
          <w:szCs w:val="12"/>
          <w:color w:val="auto"/>
        </w:rPr>
        <w:t>‑</w:t>
      </w:r>
      <w:r>
        <w:rPr>
          <w:rFonts w:ascii="Arial" w:cs="Arial" w:eastAsia="Arial" w:hAnsi="Arial"/>
          <w:sz w:val="12"/>
          <w:szCs w:val="12"/>
          <w:color w:val="auto"/>
        </w:rPr>
        <w:t>off, combination, repurchase or exchange of Shares or other securities of the Company, issuance of warrants or other rights to purchase Shares or other securities of the Company or other similar corporate transaction or event affects the Shares such that an adjustment is necessary in order to prevent dilution or enlargement of the benefits or potential benefits intended to be made available under the Plan, then the Committee shall, in such manner as it may deem equitable, adjust any or all of (i) the number and type of Shares (or other securities or other property) that thereafter may be made the subject of Awards, (ii) the number and type of Shares (or other securities or other</w:t>
      </w: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106" w:name="page107"/>
    <w:bookmarkEnd w:id="106"/>
    <w:p>
      <w:pPr>
        <w:jc w:val="both"/>
        <w:spacing w:after="0" w:line="268" w:lineRule="auto"/>
        <w:rPr>
          <w:sz w:val="20"/>
          <w:szCs w:val="20"/>
          <w:color w:val="auto"/>
        </w:rPr>
      </w:pPr>
      <w:r>
        <w:rPr>
          <w:rFonts w:ascii="Arial" w:cs="Arial" w:eastAsia="Arial" w:hAnsi="Arial"/>
          <w:sz w:val="12"/>
          <w:szCs w:val="12"/>
          <w:color w:val="auto"/>
        </w:rPr>
        <w:t xml:space="preserve">property) subject to outstanding Awards, (iii) the purchase price or exercise price with respect to any Award and (iv) the limitations contained in Section 4(d) below;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number of Shares covered by any Award or to which such Award relates shall always be rounded down to the nearest whole number. Such adjustment shall be made by the Committee or the Board, whose determination in that respect shall be final, binding and conclusive.</w:t>
      </w:r>
    </w:p>
    <w:p>
      <w:pPr>
        <w:spacing w:after="0" w:line="114" w:lineRule="exact"/>
        <w:rPr>
          <w:sz w:val="20"/>
          <w:szCs w:val="20"/>
          <w:color w:val="auto"/>
        </w:rPr>
      </w:pPr>
    </w:p>
    <w:p>
      <w:pPr>
        <w:jc w:val="both"/>
        <w:ind w:right="20" w:firstLine="856"/>
        <w:spacing w:after="0" w:line="268" w:lineRule="auto"/>
        <w:tabs>
          <w:tab w:leader="none" w:pos="1188" w:val="left"/>
        </w:tabs>
        <w:numPr>
          <w:ilvl w:val="0"/>
          <w:numId w:val="99"/>
        </w:numPr>
        <w:rPr>
          <w:rFonts w:ascii="Arial" w:cs="Arial" w:eastAsia="Arial" w:hAnsi="Arial"/>
          <w:sz w:val="12"/>
          <w:szCs w:val="12"/>
          <w:color w:val="auto"/>
        </w:rPr>
      </w:pPr>
      <w:r>
        <w:rPr>
          <w:rFonts w:ascii="Arial" w:cs="Arial" w:eastAsia="Arial" w:hAnsi="Arial"/>
          <w:sz w:val="12"/>
          <w:szCs w:val="12"/>
          <w:color w:val="auto"/>
        </w:rPr>
        <w:t>Annual Limitation on Grants of Awards. No Eligible Person who is an employee or officer may be granted any Award or Awards for more than 200,000 Shares (subject to adjustment as provided for in Section 4(c) of the Plan), in the aggregate in any calendar year. No Eligible Person who is a consultant or independent contractor may be granted any Award or Awards for more than 30,000 Shares (subject to adjustment as provided for in Section 4(c) of the Plan), in the aggregate in any calendar year.</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Section 5.</w:t>
      </w:r>
      <w:r>
        <w:rPr>
          <w:sz w:val="20"/>
          <w:szCs w:val="20"/>
          <w:color w:val="auto"/>
        </w:rPr>
        <w:tab/>
      </w:r>
      <w:r>
        <w:rPr>
          <w:rFonts w:ascii="Arial" w:cs="Arial" w:eastAsia="Arial" w:hAnsi="Arial"/>
          <w:sz w:val="11"/>
          <w:szCs w:val="11"/>
          <w:u w:val="single" w:color="auto"/>
          <w:color w:val="auto"/>
        </w:rPr>
        <w:t>Eligibility</w:t>
      </w:r>
      <w:r>
        <w:rPr>
          <w:rFonts w:ascii="Arial" w:cs="Arial" w:eastAsia="Arial" w:hAnsi="Arial"/>
          <w:sz w:val="11"/>
          <w:szCs w:val="11"/>
          <w:color w:val="auto"/>
        </w:rPr>
        <w:t>.</w:t>
      </w:r>
    </w:p>
    <w:p>
      <w:pPr>
        <w:spacing w:after="0" w:line="150" w:lineRule="exact"/>
        <w:rPr>
          <w:sz w:val="20"/>
          <w:szCs w:val="20"/>
          <w:color w:val="auto"/>
        </w:rPr>
      </w:pPr>
    </w:p>
    <w:p>
      <w:pPr>
        <w:jc w:val="both"/>
        <w:ind w:firstLine="864"/>
        <w:spacing w:after="0" w:line="147" w:lineRule="exact"/>
        <w:rPr>
          <w:sz w:val="20"/>
          <w:szCs w:val="20"/>
          <w:color w:val="auto"/>
        </w:rPr>
      </w:pPr>
      <w:r>
        <w:rPr>
          <w:rFonts w:ascii="Arial" w:cs="Arial" w:eastAsia="Arial" w:hAnsi="Arial"/>
          <w:sz w:val="12"/>
          <w:szCs w:val="12"/>
          <w:color w:val="auto"/>
        </w:rPr>
        <w:t>Any Eligible Person, including any Eligible Person who is an officer of the Company or any Affiliate, shall be eligible to be designated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previous Awards received by such Eligible Person (whether under the Plan or a predecessor plan of the Company), or such other factors as the Committee, in its discretion, shall deem relevant. Notwithstanding the foregoing, an Incentive Stock Option may only be granted to full-time or part</w:t>
      </w:r>
      <w:r>
        <w:rPr>
          <w:rFonts w:ascii="MS PGothic" w:cs="MS PGothic" w:eastAsia="MS PGothic" w:hAnsi="MS PGothic"/>
          <w:sz w:val="12"/>
          <w:szCs w:val="12"/>
          <w:color w:val="auto"/>
        </w:rPr>
        <w:t>‑</w:t>
      </w:r>
      <w:r>
        <w:rPr>
          <w:rFonts w:ascii="Arial" w:cs="Arial" w:eastAsia="Arial" w:hAnsi="Arial"/>
          <w:sz w:val="12"/>
          <w:szCs w:val="12"/>
          <w:color w:val="auto"/>
        </w:rPr>
        <w:t>time employees (which term as used herein includes, without limitation, officers), and an Incentive Stock Option shall not be granted to an employee of an Affiliate unless such Affiliate is also a “subsidiary corporation” of the Company within the meaning of Section 424(f) of the Code or any successor provision.</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Section 6.</w:t>
      </w:r>
      <w:r>
        <w:rPr>
          <w:sz w:val="20"/>
          <w:szCs w:val="20"/>
          <w:color w:val="auto"/>
        </w:rPr>
        <w:tab/>
      </w:r>
      <w:r>
        <w:rPr>
          <w:rFonts w:ascii="Arial" w:cs="Arial" w:eastAsia="Arial" w:hAnsi="Arial"/>
          <w:sz w:val="11"/>
          <w:szCs w:val="11"/>
          <w:u w:val="single" w:color="auto"/>
          <w:color w:val="auto"/>
        </w:rPr>
        <w:t>Awards</w:t>
      </w:r>
      <w:r>
        <w:rPr>
          <w:rFonts w:ascii="Arial" w:cs="Arial" w:eastAsia="Arial" w:hAnsi="Arial"/>
          <w:sz w:val="11"/>
          <w:szCs w:val="11"/>
          <w:color w:val="auto"/>
        </w:rPr>
        <w:t>.</w:t>
      </w:r>
    </w:p>
    <w:p>
      <w:pPr>
        <w:spacing w:after="0" w:line="150" w:lineRule="exact"/>
        <w:rPr>
          <w:sz w:val="20"/>
          <w:szCs w:val="20"/>
          <w:color w:val="auto"/>
        </w:rPr>
      </w:pPr>
    </w:p>
    <w:p>
      <w:pPr>
        <w:ind w:right="20" w:firstLine="856"/>
        <w:spacing w:after="0" w:line="286" w:lineRule="auto"/>
        <w:tabs>
          <w:tab w:leader="none" w:pos="1166" w:val="left"/>
        </w:tabs>
        <w:numPr>
          <w:ilvl w:val="0"/>
          <w:numId w:val="100"/>
        </w:numPr>
        <w:rPr>
          <w:rFonts w:ascii="Arial" w:cs="Arial" w:eastAsia="Arial" w:hAnsi="Arial"/>
          <w:sz w:val="12"/>
          <w:szCs w:val="12"/>
          <w:color w:val="auto"/>
        </w:rPr>
      </w:pPr>
      <w:r>
        <w:rPr>
          <w:rFonts w:ascii="Arial" w:cs="Arial" w:eastAsia="Arial" w:hAnsi="Arial"/>
          <w:sz w:val="12"/>
          <w:szCs w:val="12"/>
          <w:color w:val="auto"/>
        </w:rPr>
        <w:t>Options. The Committee is hereby authorized to grant Options to Eligible Persons with the following terms and conditions and with such additional terms and conditions not inconsistent with the provisions of the Plan as the Committee shall determine:</w:t>
      </w:r>
    </w:p>
    <w:p>
      <w:pPr>
        <w:spacing w:after="0" w:line="103" w:lineRule="exact"/>
        <w:rPr>
          <w:rFonts w:ascii="Arial" w:cs="Arial" w:eastAsia="Arial" w:hAnsi="Arial"/>
          <w:sz w:val="12"/>
          <w:szCs w:val="12"/>
          <w:color w:val="auto"/>
        </w:rPr>
      </w:pPr>
    </w:p>
    <w:p>
      <w:pPr>
        <w:jc w:val="both"/>
        <w:ind w:firstLine="1288"/>
        <w:spacing w:after="0" w:line="268" w:lineRule="auto"/>
        <w:tabs>
          <w:tab w:leader="none" w:pos="1566" w:val="left"/>
        </w:tabs>
        <w:numPr>
          <w:ilvl w:val="1"/>
          <w:numId w:val="100"/>
        </w:numPr>
        <w:rPr>
          <w:rFonts w:ascii="Arial" w:cs="Arial" w:eastAsia="Arial" w:hAnsi="Arial"/>
          <w:sz w:val="12"/>
          <w:szCs w:val="12"/>
          <w:color w:val="auto"/>
        </w:rPr>
      </w:pPr>
      <w:r>
        <w:rPr>
          <w:rFonts w:ascii="Arial" w:cs="Arial" w:eastAsia="Arial" w:hAnsi="Arial"/>
          <w:sz w:val="12"/>
          <w:szCs w:val="12"/>
          <w:color w:val="auto"/>
        </w:rPr>
        <w:t xml:space="preserve">Exercise Price. The exercise price per Share exercisable under an Option shall be determined by the Committee and shall not be less than one hundred percent (100%) of the Fair Market Value of a Share on the date of grant of such Option;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Committee may designate an exercise price below Fair Market Value on the date of grant if the Option is granted in substitution for a stock option previously granted by an entity that is acquired by or merged with the Company or an Affiliate.</w:t>
      </w:r>
    </w:p>
    <w:p>
      <w:pPr>
        <w:spacing w:after="0" w:line="113" w:lineRule="exact"/>
        <w:rPr>
          <w:rFonts w:ascii="Arial" w:cs="Arial" w:eastAsia="Arial" w:hAnsi="Arial"/>
          <w:sz w:val="12"/>
          <w:szCs w:val="12"/>
          <w:color w:val="auto"/>
        </w:rPr>
      </w:pPr>
    </w:p>
    <w:p>
      <w:pPr>
        <w:ind w:left="1560" w:hanging="272"/>
        <w:spacing w:after="0"/>
        <w:tabs>
          <w:tab w:leader="none" w:pos="156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Option Term. The term of each Option shall be fixed by the Committee but shall not be longer than ten (10) years from the date of grant.</w:t>
      </w:r>
    </w:p>
    <w:p>
      <w:pPr>
        <w:spacing w:after="0" w:line="150" w:lineRule="exact"/>
        <w:rPr>
          <w:rFonts w:ascii="Arial" w:cs="Arial" w:eastAsia="Arial" w:hAnsi="Arial"/>
          <w:sz w:val="12"/>
          <w:szCs w:val="12"/>
          <w:color w:val="auto"/>
        </w:rPr>
      </w:pPr>
    </w:p>
    <w:p>
      <w:pPr>
        <w:jc w:val="both"/>
        <w:ind w:firstLine="1288"/>
        <w:spacing w:after="0" w:line="268" w:lineRule="auto"/>
        <w:tabs>
          <w:tab w:leader="none" w:pos="1591" w:val="left"/>
        </w:tabs>
        <w:numPr>
          <w:ilvl w:val="1"/>
          <w:numId w:val="100"/>
        </w:numPr>
        <w:rPr>
          <w:rFonts w:ascii="Arial" w:cs="Arial" w:eastAsia="Arial" w:hAnsi="Arial"/>
          <w:sz w:val="12"/>
          <w:szCs w:val="12"/>
          <w:color w:val="auto"/>
        </w:rPr>
      </w:pPr>
      <w:r>
        <w:rPr>
          <w:rFonts w:ascii="Arial" w:cs="Arial" w:eastAsia="Arial" w:hAnsi="Arial"/>
          <w:sz w:val="12"/>
          <w:szCs w:val="12"/>
          <w:color w:val="auto"/>
        </w:rPr>
        <w:t>Time and Method of Exercise. The Committee shall determine the time or times at which an Option may be exercised within the Option term, either in whole or in part, and the method of exercise, except that any exercise price tendered shall be in either cash, Shares or combination thereof having a Fair Market Value on the exercise date equal to the applicable exercise price, as determined by the Committee.</w:t>
      </w:r>
    </w:p>
    <w:p>
      <w:pPr>
        <w:spacing w:after="0" w:line="113" w:lineRule="exact"/>
        <w:rPr>
          <w:rFonts w:ascii="Arial" w:cs="Arial" w:eastAsia="Arial" w:hAnsi="Arial"/>
          <w:sz w:val="12"/>
          <w:szCs w:val="12"/>
          <w:color w:val="auto"/>
        </w:rPr>
      </w:pPr>
    </w:p>
    <w:p>
      <w:pPr>
        <w:ind w:left="2020" w:hanging="300"/>
        <w:spacing w:after="0"/>
        <w:tabs>
          <w:tab w:leader="none" w:pos="2020" w:val="left"/>
        </w:tabs>
        <w:numPr>
          <w:ilvl w:val="2"/>
          <w:numId w:val="100"/>
        </w:numPr>
        <w:rPr>
          <w:rFonts w:ascii="Arial" w:cs="Arial" w:eastAsia="Arial" w:hAnsi="Arial"/>
          <w:sz w:val="12"/>
          <w:szCs w:val="12"/>
          <w:color w:val="auto"/>
        </w:rPr>
      </w:pPr>
      <w:r>
        <w:rPr>
          <w:rFonts w:ascii="Arial" w:cs="Arial" w:eastAsia="Arial" w:hAnsi="Arial"/>
          <w:sz w:val="12"/>
          <w:szCs w:val="12"/>
          <w:color w:val="auto"/>
        </w:rPr>
        <w:t>Promissory Notes. For avoidance of doubt, the Committee may not accept a promissory note as consideration.</w:t>
      </w:r>
    </w:p>
    <w:p>
      <w:pPr>
        <w:spacing w:after="0" w:line="150" w:lineRule="exact"/>
        <w:rPr>
          <w:rFonts w:ascii="Arial" w:cs="Arial" w:eastAsia="Arial" w:hAnsi="Arial"/>
          <w:sz w:val="12"/>
          <w:szCs w:val="12"/>
          <w:color w:val="auto"/>
        </w:rPr>
      </w:pPr>
    </w:p>
    <w:p>
      <w:pPr>
        <w:jc w:val="both"/>
        <w:ind w:right="20" w:firstLine="1720"/>
        <w:spacing w:after="0" w:line="268" w:lineRule="auto"/>
        <w:tabs>
          <w:tab w:leader="none" w:pos="2063" w:val="left"/>
        </w:tabs>
        <w:numPr>
          <w:ilvl w:val="2"/>
          <w:numId w:val="100"/>
        </w:numPr>
        <w:rPr>
          <w:rFonts w:ascii="Arial" w:cs="Arial" w:eastAsia="Arial" w:hAnsi="Arial"/>
          <w:sz w:val="12"/>
          <w:szCs w:val="12"/>
          <w:color w:val="auto"/>
        </w:rPr>
      </w:pPr>
      <w:r>
        <w:rPr>
          <w:rFonts w:ascii="Arial" w:cs="Arial" w:eastAsia="Arial" w:hAnsi="Arial"/>
          <w:sz w:val="12"/>
          <w:szCs w:val="12"/>
          <w:color w:val="auto"/>
        </w:rPr>
        <w:t>Net Exercises. The terms of any Option may be written to permit the Option to be exercised by delivering to the Participant a number of Shares having an aggregate Fair Market Value (determined as of the date of exercise) equal to the excess, if any, of the Fair Market Value of the Shares underlying the Option being exercised, on the date of exercise, over the exercise price of the Option for such Shares.</w:t>
      </w:r>
    </w:p>
    <w:p>
      <w:pPr>
        <w:spacing w:after="0" w:line="113" w:lineRule="exact"/>
        <w:rPr>
          <w:rFonts w:ascii="Arial" w:cs="Arial" w:eastAsia="Arial" w:hAnsi="Arial"/>
          <w:sz w:val="12"/>
          <w:szCs w:val="12"/>
          <w:color w:val="auto"/>
        </w:rPr>
      </w:pPr>
    </w:p>
    <w:p>
      <w:pPr>
        <w:ind w:left="1600" w:hanging="312"/>
        <w:spacing w:after="0"/>
        <w:tabs>
          <w:tab w:leader="none" w:pos="160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Incentive Stock Options. Notwithstanding anything in the Plan to the contrary, the following additional provisions shall apply to the grant of stock options which are intended to qualify</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as Incentive Stock Options: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07" w:name="page108"/>
    <w:bookmarkEnd w:id="107"/>
    <w:p>
      <w:pPr>
        <w:ind w:firstLine="1720"/>
        <w:spacing w:after="0" w:line="286" w:lineRule="auto"/>
        <w:tabs>
          <w:tab w:leader="none" w:pos="2029" w:val="left"/>
        </w:tabs>
        <w:numPr>
          <w:ilvl w:val="2"/>
          <w:numId w:val="101"/>
        </w:numPr>
        <w:rPr>
          <w:rFonts w:ascii="Arial" w:cs="Arial" w:eastAsia="Arial" w:hAnsi="Arial"/>
          <w:sz w:val="12"/>
          <w:szCs w:val="12"/>
          <w:color w:val="auto"/>
        </w:rPr>
      </w:pPr>
      <w:r>
        <w:rPr>
          <w:rFonts w:ascii="Arial" w:cs="Arial" w:eastAsia="Arial" w:hAnsi="Arial"/>
          <w:sz w:val="12"/>
          <w:szCs w:val="12"/>
          <w:color w:val="auto"/>
        </w:rPr>
        <w:t>The Committee will not grant Incentive Stock Options in which the aggregate Fair Market Value (determined as of the time the Option is granted) of the Shares with respect to which Incentive Stock Options are exercisable for the first time by any Participant during any calendar year (under this Plan and all other plans of the Company and its Affiliates) shall exceed $100,000.</w:t>
      </w:r>
    </w:p>
    <w:p>
      <w:pPr>
        <w:spacing w:after="0" w:line="103" w:lineRule="exact"/>
        <w:rPr>
          <w:rFonts w:ascii="Arial" w:cs="Arial" w:eastAsia="Arial" w:hAnsi="Arial"/>
          <w:sz w:val="12"/>
          <w:szCs w:val="12"/>
          <w:color w:val="auto"/>
        </w:rPr>
      </w:pPr>
    </w:p>
    <w:p>
      <w:pPr>
        <w:ind w:left="2020" w:hanging="300"/>
        <w:spacing w:after="0"/>
        <w:tabs>
          <w:tab w:leader="none" w:pos="2020" w:val="left"/>
        </w:tabs>
        <w:numPr>
          <w:ilvl w:val="2"/>
          <w:numId w:val="101"/>
        </w:numPr>
        <w:rPr>
          <w:rFonts w:ascii="Arial" w:cs="Arial" w:eastAsia="Arial" w:hAnsi="Arial"/>
          <w:sz w:val="12"/>
          <w:szCs w:val="12"/>
          <w:color w:val="auto"/>
        </w:rPr>
      </w:pPr>
      <w:r>
        <w:rPr>
          <w:rFonts w:ascii="Arial" w:cs="Arial" w:eastAsia="Arial" w:hAnsi="Arial"/>
          <w:sz w:val="12"/>
          <w:szCs w:val="12"/>
          <w:color w:val="auto"/>
        </w:rPr>
        <w:t>All Incentive Stock Options must be granted within ten (10) years from the earlier of the date on which this Plan was adopted by the Board or the date this Plan was approved</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by the shareholders of the Company.</w:t>
      </w:r>
    </w:p>
    <w:p>
      <w:pPr>
        <w:spacing w:after="0" w:line="138" w:lineRule="exact"/>
        <w:rPr>
          <w:rFonts w:ascii="Arial" w:cs="Arial" w:eastAsia="Arial" w:hAnsi="Arial"/>
          <w:sz w:val="12"/>
          <w:szCs w:val="12"/>
          <w:color w:val="auto"/>
        </w:rPr>
      </w:pPr>
    </w:p>
    <w:p>
      <w:pPr>
        <w:jc w:val="both"/>
        <w:ind w:firstLine="1720"/>
        <w:spacing w:after="0" w:line="268" w:lineRule="auto"/>
        <w:tabs>
          <w:tab w:leader="none" w:pos="2049" w:val="left"/>
        </w:tabs>
        <w:numPr>
          <w:ilvl w:val="2"/>
          <w:numId w:val="101"/>
        </w:numPr>
        <w:rPr>
          <w:rFonts w:ascii="Arial" w:cs="Arial" w:eastAsia="Arial" w:hAnsi="Arial"/>
          <w:sz w:val="12"/>
          <w:szCs w:val="12"/>
          <w:color w:val="auto"/>
        </w:rPr>
      </w:pPr>
      <w:r>
        <w:rPr>
          <w:rFonts w:ascii="Arial" w:cs="Arial" w:eastAsia="Arial" w:hAnsi="Arial"/>
          <w:sz w:val="12"/>
          <w:szCs w:val="12"/>
          <w:color w:val="auto"/>
        </w:rPr>
        <w:t xml:space="preserve">Unless sooner exercised, all Incentive Stock Options shall expire and no longer be exercisable no later than ten (10) years after the date of grant;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case of a grant of an Incentive Stock Option to a Participant who, at the time such Option is granted, owns (within the meaning of Section 422 of the Code) stock possessing more than ten percent (10%) of the total combined voting power of all classes of stock of the Company or of its Affiliates, such Incentive Stock Option shall expire and no longer be exercisable no later than five (5) years from the date of grant.</w:t>
      </w:r>
    </w:p>
    <w:p>
      <w:pPr>
        <w:spacing w:after="0" w:line="113" w:lineRule="exact"/>
        <w:rPr>
          <w:rFonts w:ascii="Arial" w:cs="Arial" w:eastAsia="Arial" w:hAnsi="Arial"/>
          <w:sz w:val="12"/>
          <w:szCs w:val="12"/>
          <w:color w:val="auto"/>
        </w:rPr>
      </w:pPr>
    </w:p>
    <w:p>
      <w:pPr>
        <w:jc w:val="both"/>
        <w:ind w:firstLine="1720"/>
        <w:spacing w:after="0" w:line="262" w:lineRule="auto"/>
        <w:tabs>
          <w:tab w:leader="none" w:pos="2041" w:val="left"/>
        </w:tabs>
        <w:numPr>
          <w:ilvl w:val="2"/>
          <w:numId w:val="101"/>
        </w:numPr>
        <w:rPr>
          <w:rFonts w:ascii="Arial" w:cs="Arial" w:eastAsia="Arial" w:hAnsi="Arial"/>
          <w:sz w:val="12"/>
          <w:szCs w:val="12"/>
          <w:color w:val="auto"/>
        </w:rPr>
      </w:pPr>
      <w:r>
        <w:rPr>
          <w:rFonts w:ascii="Arial" w:cs="Arial" w:eastAsia="Arial" w:hAnsi="Arial"/>
          <w:sz w:val="12"/>
          <w:szCs w:val="12"/>
          <w:color w:val="auto"/>
        </w:rPr>
        <w:t xml:space="preserve">The exercise price per Share for an Incentive Stock Option shall be not less than one hundred percent (100%) of the Fair Market Value of a Share on the date of grant of the Incentive Stock Option;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case of the grant of an Incentive Stock Option to a Participant who, at the time such Option is granted, owns (within the meaning of Section 422 of the Code) stock possessing more than ten percent (10%) of the total combined voting power of all classes of stock of the Company or of its Affiliates, the exercise price per Share exercisable under an Incentive Stock Option shall be not less than one hundred ten percent (110%) of the Fair Market Value of a Share on the date of grant of the Incentive Stock Option.</w:t>
      </w:r>
    </w:p>
    <w:p>
      <w:pPr>
        <w:spacing w:after="0" w:line="117" w:lineRule="exact"/>
        <w:rPr>
          <w:rFonts w:ascii="Arial" w:cs="Arial" w:eastAsia="Arial" w:hAnsi="Arial"/>
          <w:sz w:val="12"/>
          <w:szCs w:val="12"/>
          <w:color w:val="auto"/>
        </w:rPr>
      </w:pPr>
    </w:p>
    <w:p>
      <w:pPr>
        <w:jc w:val="both"/>
        <w:ind w:firstLine="856"/>
        <w:spacing w:after="0" w:line="255" w:lineRule="auto"/>
        <w:tabs>
          <w:tab w:leader="none" w:pos="114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 xml:space="preserve">Stock Appreciation Rights. The Committee is hereby authorized to grant Stock Appreciation Rights to Eligible Persons subject to the terms of the Plan and any applicable Award Agreement. A Stock Appreciation Right granted under the Plan shall confer on the holder thereof a right to receive upon exercise thereof the excess of (i) the Fair Market Value of one Share on the date of exercise over (ii) the grant price of the Stock Appreciation Right as specified by the Committee, which price shall not be less than one hundred percent (100%) of the Fair Market Value of one Share on the date of grant of the Stock Appreciation Right;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Committee may designate a grant price below Fair Market Value on the date of grant if the Stock Appreciation Right is granted in substitution for a stock appreciation right previously granted by an entity that is acquired by or merged with the Company or an Affiliate. Subject to the terms of the Plan and any applicable Award Agreement, the grant price, term, methods of exercise, dates of exercise, methods of settlement and any other terms and conditions of any Stock Appreciation Right shall be as determined by the Committee (except that the term of each Stock Appreciation Right shall be subject to the ten (10) year maximum term in Section 6(a)(ii) applicable to Options). The Committee may impose such conditions or restrictions on the exercise of any Stock Appreciation Right as it may deem appropriate.</w:t>
      </w:r>
    </w:p>
    <w:p>
      <w:pPr>
        <w:spacing w:after="0" w:line="123" w:lineRule="exact"/>
        <w:rPr>
          <w:rFonts w:ascii="Arial" w:cs="Arial" w:eastAsia="Arial" w:hAnsi="Arial"/>
          <w:sz w:val="12"/>
          <w:szCs w:val="12"/>
          <w:color w:val="auto"/>
        </w:rPr>
      </w:pPr>
    </w:p>
    <w:p>
      <w:pPr>
        <w:ind w:firstLine="856"/>
        <w:spacing w:after="0" w:line="286" w:lineRule="auto"/>
        <w:tabs>
          <w:tab w:leader="none" w:pos="115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Restricted Stock and Restricted Stock Units. The Committee is hereby authorized to grant Awards of Restricted Stock and Restricted Stock Units to Eligible Persons with the following terms and conditions and with such additional terms and conditions not inconsistent with the provisions of the Plan as the Committee shall determine:</w:t>
      </w:r>
    </w:p>
    <w:p>
      <w:pPr>
        <w:spacing w:after="0" w:line="103" w:lineRule="exact"/>
        <w:rPr>
          <w:rFonts w:ascii="Arial" w:cs="Arial" w:eastAsia="Arial" w:hAnsi="Arial"/>
          <w:sz w:val="12"/>
          <w:szCs w:val="12"/>
          <w:color w:val="auto"/>
        </w:rPr>
      </w:pPr>
    </w:p>
    <w:p>
      <w:pPr>
        <w:jc w:val="both"/>
        <w:ind w:firstLine="1288"/>
        <w:spacing w:after="0" w:line="259" w:lineRule="auto"/>
        <w:tabs>
          <w:tab w:leader="none" w:pos="1536" w:val="left"/>
        </w:tabs>
        <w:numPr>
          <w:ilvl w:val="1"/>
          <w:numId w:val="102"/>
        </w:numPr>
        <w:rPr>
          <w:rFonts w:ascii="Arial" w:cs="Arial" w:eastAsia="Arial" w:hAnsi="Arial"/>
          <w:sz w:val="12"/>
          <w:szCs w:val="12"/>
          <w:color w:val="auto"/>
        </w:rPr>
      </w:pPr>
      <w:r>
        <w:rPr>
          <w:rFonts w:ascii="Arial" w:cs="Arial" w:eastAsia="Arial" w:hAnsi="Arial"/>
          <w:sz w:val="12"/>
          <w:szCs w:val="12"/>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with respect thereto), which restrictions may lapse separately or in combination at such time or times, in such installments or otherwise as the Committee may deem appropriate. Vesting of such Awards may, at the Committee’s discretion, be conditioned upon the Participant’s completion of a minimum period of service with the Company or an Affiliate, or upon the achievement of one or more performance goals established by the Committee, or upon any combination of service-based and performance-based conditions, subject to the minimum vesting requirements in Section 6(f). Notwithstanding the foregoing, rights to dividend or Dividend Equivalent payments shall be subject to the limitations described in Section 6(d).</w:t>
      </w:r>
    </w:p>
    <w:p>
      <w:pPr>
        <w:spacing w:after="0" w:line="119" w:lineRule="exact"/>
        <w:rPr>
          <w:rFonts w:ascii="Arial" w:cs="Arial" w:eastAsia="Arial" w:hAnsi="Arial"/>
          <w:sz w:val="12"/>
          <w:szCs w:val="12"/>
          <w:color w:val="auto"/>
        </w:rPr>
      </w:pPr>
    </w:p>
    <w:p>
      <w:pPr>
        <w:ind w:left="1600" w:hanging="312"/>
        <w:spacing w:after="0"/>
        <w:tabs>
          <w:tab w:leader="none" w:pos="160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Issuance and Delivery of Shares. Any Restricted Stock granted under the Plan shall be issued at the time such Awards are granted and may be evidenced in such manner as the</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Committee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08" w:name="page109"/>
    <w:bookmarkEnd w:id="108"/>
    <w:p>
      <w:pPr>
        <w:jc w:val="both"/>
        <w:spacing w:after="0" w:line="152" w:lineRule="exact"/>
        <w:rPr>
          <w:sz w:val="20"/>
          <w:szCs w:val="20"/>
          <w:color w:val="auto"/>
        </w:rPr>
      </w:pPr>
      <w:r>
        <w:rPr>
          <w:rFonts w:ascii="Arial" w:cs="Arial" w:eastAsia="Arial" w:hAnsi="Arial"/>
          <w:sz w:val="12"/>
          <w:szCs w:val="12"/>
          <w:color w:val="auto"/>
        </w:rPr>
        <w:t>may deem appropriate, including book</w:t>
      </w:r>
      <w:r>
        <w:rPr>
          <w:rFonts w:ascii="MS PGothic" w:cs="MS PGothic" w:eastAsia="MS PGothic" w:hAnsi="MS PGothic"/>
          <w:sz w:val="12"/>
          <w:szCs w:val="12"/>
          <w:color w:val="auto"/>
        </w:rPr>
        <w:t>‑</w:t>
      </w:r>
      <w:r>
        <w:rPr>
          <w:rFonts w:ascii="Arial" w:cs="Arial" w:eastAsia="Arial" w:hAnsi="Arial"/>
          <w:sz w:val="12"/>
          <w:szCs w:val="12"/>
          <w:color w:val="auto"/>
        </w:rPr>
        <w:t>entry registration or issuance of a stock certificate or certificates, which certificate or certificates shall be held by the Company or held in nominee name by the stock transfer agent or brokerage service selected by the Company to provide such services for the Plan. Such certificate or certificates shall be registered in the name of the Participant and shall bear an appropriate legend referring to the restrictions applicable to such Restricted Stock. Shares representing Restricted Stock that are no longer subject to restrictions shall be delivered (including by updating the book</w:t>
      </w:r>
      <w:r>
        <w:rPr>
          <w:rFonts w:ascii="MS PGothic" w:cs="MS PGothic" w:eastAsia="MS PGothic" w:hAnsi="MS PGothic"/>
          <w:sz w:val="12"/>
          <w:szCs w:val="12"/>
          <w:color w:val="auto"/>
        </w:rPr>
        <w:t>‑</w:t>
      </w:r>
      <w:r>
        <w:rPr>
          <w:rFonts w:ascii="Arial" w:cs="Arial" w:eastAsia="Arial" w:hAnsi="Arial"/>
          <w:sz w:val="12"/>
          <w:szCs w:val="12"/>
          <w:color w:val="auto"/>
        </w:rPr>
        <w:t>entry registration) to the Participant promptly after the applicable restrictions lapse or are waived. In the case of Restricted Stock Units, no Shares shall be issued at the time such Awards are granted. Upon the lapse or waiver of restrictions and the restricted period relating to Restricted Stock Units evidencing the right to receive Shares, such Shares shall be issued and delivered to the holder of the Restricted Stock Units.</w:t>
      </w:r>
    </w:p>
    <w:p>
      <w:pPr>
        <w:spacing w:after="0" w:line="132" w:lineRule="exact"/>
        <w:rPr>
          <w:sz w:val="20"/>
          <w:szCs w:val="20"/>
          <w:color w:val="auto"/>
        </w:rPr>
      </w:pPr>
    </w:p>
    <w:p>
      <w:pPr>
        <w:jc w:val="both"/>
        <w:ind w:firstLine="856"/>
        <w:spacing w:after="0" w:line="257" w:lineRule="auto"/>
        <w:tabs>
          <w:tab w:leader="none" w:pos="119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Dividend Equivalents. The Committee is hereby authorized to grant Dividend Equivalents to Eligible Persons under which the Participant shall be entitled to receive payments (in cash or Shares as determined in the discretion of the Committee) equivalent to the amount of cash dividends paid by the Company to holders of Shares with respect to a number of Shares determined by the Committee. Subject to the terms of the Plan and any applicable Award Agreement, such Dividend Equivalents may have such terms and conditions as the Committee shall determine. Notwithstanding the foregoing, (i) the Committee may not grant Dividend Equivalents to Eligible Persons in connection with grants of Options, Stock Appreciation Rights or other Awards the value of which is based solely on an increase in the value of the Shares after the grant of such Award, and (ii) dividend and Dividend Equivalent amounts with respect to any Share underlying an Award may be accrued but not paid to a Participant until all conditions or restrictions relating to such Share have been satisfied or lapsed.</w:t>
      </w:r>
    </w:p>
    <w:p>
      <w:pPr>
        <w:spacing w:after="0" w:line="94" w:lineRule="exact"/>
        <w:rPr>
          <w:rFonts w:ascii="Arial" w:cs="Arial" w:eastAsia="Arial" w:hAnsi="Arial"/>
          <w:sz w:val="12"/>
          <w:szCs w:val="12"/>
          <w:color w:val="auto"/>
        </w:rPr>
      </w:pPr>
    </w:p>
    <w:p>
      <w:pPr>
        <w:jc w:val="both"/>
        <w:ind w:firstLine="856"/>
        <w:spacing w:after="0" w:line="155" w:lineRule="exact"/>
        <w:tabs>
          <w:tab w:leader="none" w:pos="1149" w:val="left"/>
        </w:tabs>
        <w:numPr>
          <w:ilvl w:val="0"/>
          <w:numId w:val="103"/>
        </w:numPr>
        <w:rPr>
          <w:rFonts w:ascii="Arial" w:cs="Arial" w:eastAsia="Arial" w:hAnsi="Arial"/>
          <w:sz w:val="12"/>
          <w:szCs w:val="12"/>
          <w:color w:val="auto"/>
        </w:rPr>
      </w:pPr>
      <w:r>
        <w:rPr>
          <w:rFonts w:ascii="Arial" w:cs="Arial" w:eastAsia="Arial" w:hAnsi="Arial"/>
          <w:sz w:val="12"/>
          <w:szCs w:val="12"/>
          <w:color w:val="auto"/>
        </w:rPr>
        <w:t>Other Stock</w:t>
      </w:r>
      <w:r>
        <w:rPr>
          <w:rFonts w:ascii="MS PGothic" w:cs="MS PGothic" w:eastAsia="MS PGothic" w:hAnsi="MS PGothic"/>
          <w:sz w:val="12"/>
          <w:szCs w:val="12"/>
          <w:color w:val="auto"/>
        </w:rPr>
        <w:t>‑</w:t>
      </w:r>
      <w:r>
        <w:rPr>
          <w:rFonts w:ascii="Arial" w:cs="Arial" w:eastAsia="Arial" w:hAnsi="Arial"/>
          <w:sz w:val="12"/>
          <w:szCs w:val="12"/>
          <w:color w:val="auto"/>
        </w:rPr>
        <w:t>Based Awards. The Committee is hereby authorized to grant to Eligible Persons such other Awards that are denominated or payable in, valued in whole or in part by reference to, or otherwise based on or related to, Shares (including, without limitation, securities convertible into Shares), as are deemed by the Committee to be consistent with the purpose of the Plan. The Committee shall determine the terms and conditions of such Awards, subject to the terms of the Plan and any applicable Award Agreement. No Award issued under this Section 6(e) shall contain a purchase right or an option like exercise feature.</w:t>
      </w:r>
    </w:p>
    <w:p>
      <w:pPr>
        <w:spacing w:after="0" w:line="130" w:lineRule="exact"/>
        <w:rPr>
          <w:rFonts w:ascii="Arial" w:cs="Arial" w:eastAsia="Arial" w:hAnsi="Arial"/>
          <w:sz w:val="12"/>
          <w:szCs w:val="12"/>
          <w:color w:val="auto"/>
        </w:rPr>
      </w:pPr>
    </w:p>
    <w:p>
      <w:pPr>
        <w:ind w:left="1100" w:hanging="244"/>
        <w:spacing w:after="0"/>
        <w:tabs>
          <w:tab w:leader="none" w:pos="11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General.</w:t>
      </w:r>
    </w:p>
    <w:p>
      <w:pPr>
        <w:spacing w:after="0" w:line="150" w:lineRule="exact"/>
        <w:rPr>
          <w:rFonts w:ascii="Arial" w:cs="Arial" w:eastAsia="Arial" w:hAnsi="Arial"/>
          <w:sz w:val="12"/>
          <w:szCs w:val="12"/>
          <w:color w:val="auto"/>
        </w:rPr>
      </w:pPr>
    </w:p>
    <w:p>
      <w:pPr>
        <w:ind w:left="1540" w:hanging="252"/>
        <w:spacing w:after="0"/>
        <w:tabs>
          <w:tab w:leader="none" w:pos="1540" w:val="left"/>
        </w:tabs>
        <w:numPr>
          <w:ilvl w:val="1"/>
          <w:numId w:val="103"/>
        </w:numPr>
        <w:rPr>
          <w:rFonts w:ascii="Arial" w:cs="Arial" w:eastAsia="Arial" w:hAnsi="Arial"/>
          <w:sz w:val="12"/>
          <w:szCs w:val="12"/>
          <w:color w:val="auto"/>
        </w:rPr>
      </w:pPr>
      <w:r>
        <w:rPr>
          <w:rFonts w:ascii="Arial" w:cs="Arial" w:eastAsia="Arial" w:hAnsi="Arial"/>
          <w:sz w:val="12"/>
          <w:szCs w:val="12"/>
          <w:color w:val="auto"/>
        </w:rPr>
        <w:t>Consideration for Awards. Awards may be granted for no cash consideration or for any cash or other consideration as may be determined by the Committee or required by applicable</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law.</w:t>
      </w:r>
    </w:p>
    <w:p>
      <w:pPr>
        <w:spacing w:after="0" w:line="138" w:lineRule="exact"/>
        <w:rPr>
          <w:rFonts w:ascii="Arial" w:cs="Arial" w:eastAsia="Arial" w:hAnsi="Arial"/>
          <w:sz w:val="12"/>
          <w:szCs w:val="12"/>
          <w:color w:val="auto"/>
        </w:rPr>
      </w:pPr>
    </w:p>
    <w:p>
      <w:pPr>
        <w:jc w:val="both"/>
        <w:ind w:firstLine="1288"/>
        <w:spacing w:after="0" w:line="268" w:lineRule="auto"/>
        <w:tabs>
          <w:tab w:leader="none" w:pos="1556" w:val="left"/>
        </w:tabs>
        <w:numPr>
          <w:ilvl w:val="1"/>
          <w:numId w:val="103"/>
        </w:numPr>
        <w:rPr>
          <w:rFonts w:ascii="Arial" w:cs="Arial" w:eastAsia="Arial" w:hAnsi="Arial"/>
          <w:sz w:val="12"/>
          <w:szCs w:val="12"/>
          <w:color w:val="auto"/>
        </w:rPr>
      </w:pPr>
      <w:r>
        <w:rPr>
          <w:rFonts w:ascii="Arial" w:cs="Arial" w:eastAsia="Arial" w:hAnsi="Arial"/>
          <w:sz w:val="12"/>
          <w:szCs w:val="12"/>
          <w:color w:val="auto"/>
        </w:rPr>
        <w:t>Awards May Be Granted Separately or Together. Awards may, in the discretion of the Committee, be granted either alone or in addition to, in tandem with or in substitution for any other Award or any award granted under any other plan of the Company or any Affiliate. Awards granted in addition to or in tandem with other Awards or in addition to or in tandem with awards granted under any other plan of the Company or any Affiliate may be granted either at the same time as or at a different time from the grant of such other Awards or awards.</w:t>
      </w:r>
    </w:p>
    <w:p>
      <w:pPr>
        <w:spacing w:after="0" w:line="113" w:lineRule="exact"/>
        <w:rPr>
          <w:rFonts w:ascii="Arial" w:cs="Arial" w:eastAsia="Arial" w:hAnsi="Arial"/>
          <w:sz w:val="12"/>
          <w:szCs w:val="12"/>
          <w:color w:val="auto"/>
        </w:rPr>
      </w:pPr>
    </w:p>
    <w:p>
      <w:pPr>
        <w:jc w:val="both"/>
        <w:ind w:firstLine="1288"/>
        <w:spacing w:after="0" w:line="257" w:lineRule="auto"/>
        <w:tabs>
          <w:tab w:leader="none" w:pos="1601" w:val="left"/>
        </w:tabs>
        <w:numPr>
          <w:ilvl w:val="1"/>
          <w:numId w:val="103"/>
        </w:numPr>
        <w:rPr>
          <w:rFonts w:ascii="Arial" w:cs="Arial" w:eastAsia="Arial" w:hAnsi="Arial"/>
          <w:sz w:val="12"/>
          <w:szCs w:val="12"/>
          <w:color w:val="auto"/>
        </w:rPr>
      </w:pPr>
      <w:r>
        <w:rPr>
          <w:rFonts w:ascii="Arial" w:cs="Arial" w:eastAsia="Arial" w:hAnsi="Arial"/>
          <w:sz w:val="12"/>
          <w:szCs w:val="12"/>
          <w:color w:val="auto"/>
        </w:rPr>
        <w:t>Limits on Transfer of Awards. No Award (other than fully vested and unrestricted Shares issued pursuant to any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Company or any Affiliate. Notwithstanding the foregoing, the Committee may permit the transfer of an Award, other than a fully vested and unrestricted Share, to family members if such transfer is for no value and in accordance with the General Instructions to Form S-8 (or any successor to such Instructions or such Form) under the Securities Act of 1933, as amended. The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w:t>
      </w:r>
    </w:p>
    <w:p>
      <w:pPr>
        <w:spacing w:after="0" w:line="121" w:lineRule="exact"/>
        <w:rPr>
          <w:rFonts w:ascii="Arial" w:cs="Arial" w:eastAsia="Arial" w:hAnsi="Arial"/>
          <w:sz w:val="12"/>
          <w:szCs w:val="12"/>
          <w:color w:val="auto"/>
        </w:rPr>
      </w:pPr>
    </w:p>
    <w:p>
      <w:pPr>
        <w:ind w:firstLine="1288"/>
        <w:spacing w:after="0" w:line="286" w:lineRule="auto"/>
        <w:tabs>
          <w:tab w:leader="none" w:pos="1605" w:val="left"/>
        </w:tabs>
        <w:numPr>
          <w:ilvl w:val="1"/>
          <w:numId w:val="103"/>
        </w:numPr>
        <w:rPr>
          <w:rFonts w:ascii="Arial" w:cs="Arial" w:eastAsia="Arial" w:hAnsi="Arial"/>
          <w:sz w:val="12"/>
          <w:szCs w:val="12"/>
          <w:color w:val="auto"/>
        </w:rPr>
      </w:pPr>
      <w:r>
        <w:rPr>
          <w:rFonts w:ascii="Arial" w:cs="Arial" w:eastAsia="Arial" w:hAnsi="Arial"/>
          <w:sz w:val="12"/>
          <w:szCs w:val="12"/>
          <w:color w:val="auto"/>
        </w:rPr>
        <w:t>Restrictions; Securities Exchange Listing. All Shares or other securities delivered under the Plan pursuant to any Award or the exercise thereof shall be subject to such restrictions as the Committee may deem advisable under the Plan, applicable federal or state securities laws and regulatory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12"/>
          <w:szCs w:val="12"/>
          <w:color w:val="auto"/>
        </w:rPr>
        <w:t>requirements, and the Committee may cause appropriate entries to be made or legends to be placed on the certificates for such Shares or other securities to reflect such restrictions. If the Shares or other securities are traded on a securities exchange, the Company shall not be required to deliver any Shares or other securities covered by an Award unless and until such Shares or other securities have been admitted for trading on such securities exchange.</w:t>
      </w:r>
    </w:p>
    <w:p>
      <w:pPr>
        <w:spacing w:after="0" w:line="114" w:lineRule="exact"/>
        <w:rPr>
          <w:sz w:val="20"/>
          <w:szCs w:val="20"/>
          <w:color w:val="auto"/>
        </w:rPr>
      </w:pPr>
    </w:p>
    <w:p>
      <w:pPr>
        <w:jc w:val="both"/>
        <w:ind w:firstLine="1288"/>
        <w:spacing w:after="0" w:line="259" w:lineRule="auto"/>
        <w:tabs>
          <w:tab w:leader="none" w:pos="1674"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Prohibition on Option and Stock Appreciation Right Repricing. Except as provided in Section 4(c) hereof, the Committee may not, without prior approval of the Company’s shareholders, seek to effect any repricing of any previously granted, “underwater” Option or Stock Appreciation Right by: (i) amending or modifying the terms of the Option or Stock Appreciation Right to lower the exercise price; (ii) cancelling the underwater Option or Stock Appreciation Right and granting either (A) replacement Options or Stock Appreciation Rights having a lower exercise price; or (B) Restricted Stock, Restricted Stock Units or Other Stock-Based Award in exchange; or (iii) cancelling or repurchasing the underwater Option or Stock Appreciation Right for cash or other securities. An Option or Stock Appreciation Right will be deemed to be “underwater” at any time when the Fair Market Value of the Shares covered by such Option or Stock Appreciation Right is less than the exercise price.</w:t>
      </w:r>
    </w:p>
    <w:p>
      <w:pPr>
        <w:spacing w:after="0" w:line="119" w:lineRule="exact"/>
        <w:rPr>
          <w:rFonts w:ascii="Arial" w:cs="Arial" w:eastAsia="Arial" w:hAnsi="Arial"/>
          <w:sz w:val="12"/>
          <w:szCs w:val="12"/>
          <w:color w:val="auto"/>
        </w:rPr>
      </w:pPr>
    </w:p>
    <w:p>
      <w:pPr>
        <w:jc w:val="both"/>
        <w:ind w:firstLine="1288"/>
        <w:spacing w:after="0" w:line="262" w:lineRule="auto"/>
        <w:tabs>
          <w:tab w:leader="none" w:pos="1608" w:val="left"/>
        </w:tabs>
        <w:numPr>
          <w:ilvl w:val="0"/>
          <w:numId w:val="104"/>
        </w:numPr>
        <w:rPr>
          <w:rFonts w:ascii="Arial" w:cs="Arial" w:eastAsia="Arial" w:hAnsi="Arial"/>
          <w:sz w:val="12"/>
          <w:szCs w:val="12"/>
          <w:color w:val="auto"/>
        </w:rPr>
      </w:pPr>
      <w:r>
        <w:rPr>
          <w:rFonts w:ascii="Arial" w:cs="Arial" w:eastAsia="Arial" w:hAnsi="Arial"/>
          <w:sz w:val="12"/>
          <w:szCs w:val="12"/>
          <w:color w:val="auto"/>
        </w:rPr>
        <w:t xml:space="preserve">Minimum Vesting. No Award shall be granted with terms providing for any right of exercise or lapse of any vesting obligations earlier than a date that is at least one year following the date of grant (or, in the case of vesting based upon performance-based objectives, exercise and vesting restrictions cannot lapse earlier than the one-year anniversary measured from the commencement of the period over which performance is evaluated);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Award Agreement by its terms may permit acceleration or waiver of the minimum restrictions solely upon the Participant’s death, Disability, Retirement or Qualifying Termination. Notwithstanding the foregoing:</w:t>
      </w:r>
    </w:p>
    <w:p>
      <w:pPr>
        <w:spacing w:after="0" w:line="117" w:lineRule="exact"/>
        <w:rPr>
          <w:rFonts w:ascii="Arial" w:cs="Arial" w:eastAsia="Arial" w:hAnsi="Arial"/>
          <w:sz w:val="12"/>
          <w:szCs w:val="12"/>
          <w:color w:val="auto"/>
        </w:rPr>
      </w:pPr>
    </w:p>
    <w:p>
      <w:pPr>
        <w:jc w:val="both"/>
        <w:ind w:firstLine="1720"/>
        <w:spacing w:after="0" w:line="268" w:lineRule="auto"/>
        <w:tabs>
          <w:tab w:leader="none" w:pos="2043"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 maximum of five percent (5%) of the aggregate number of Shares available for issuance under this Plan may be issued as Awards that do not comply with the applicable one-year minimum exercise and vesting requirements and limited exceptions set forth above. For purposes of counting Shares against the five percent (5%) limitation, the Share counting rules under Section 4 of this Plan apply.</w:t>
      </w:r>
    </w:p>
    <w:p>
      <w:pPr>
        <w:spacing w:after="0" w:line="113" w:lineRule="exact"/>
        <w:rPr>
          <w:rFonts w:ascii="Arial" w:cs="Arial" w:eastAsia="Arial" w:hAnsi="Arial"/>
          <w:sz w:val="12"/>
          <w:szCs w:val="12"/>
          <w:color w:val="auto"/>
        </w:rPr>
      </w:pPr>
    </w:p>
    <w:p>
      <w:pPr>
        <w:ind w:firstLine="1720"/>
        <w:spacing w:after="0" w:line="286" w:lineRule="auto"/>
        <w:tabs>
          <w:tab w:leader="none" w:pos="2023" w:val="left"/>
        </w:tabs>
        <w:numPr>
          <w:ilvl w:val="1"/>
          <w:numId w:val="104"/>
        </w:numPr>
        <w:rPr>
          <w:rFonts w:ascii="Arial" w:cs="Arial" w:eastAsia="Arial" w:hAnsi="Arial"/>
          <w:sz w:val="12"/>
          <w:szCs w:val="12"/>
          <w:color w:val="auto"/>
        </w:rPr>
      </w:pPr>
      <w:r>
        <w:rPr>
          <w:rFonts w:ascii="Arial" w:cs="Arial" w:eastAsia="Arial" w:hAnsi="Arial"/>
          <w:sz w:val="12"/>
          <w:szCs w:val="12"/>
          <w:color w:val="auto"/>
        </w:rPr>
        <w:t>Nothing in this Section 6 shall limit the authority of the Committee to amend or modify any Award to accelerate the vesting or the exercisability of any Award or the lapse of any restrictions relating to any Award (except where expressly limited in Section 6(f)(vii)).</w:t>
      </w:r>
    </w:p>
    <w:p>
      <w:pPr>
        <w:spacing w:after="0" w:line="103" w:lineRule="exact"/>
        <w:rPr>
          <w:rFonts w:ascii="Arial" w:cs="Arial" w:eastAsia="Arial" w:hAnsi="Arial"/>
          <w:sz w:val="12"/>
          <w:szCs w:val="12"/>
          <w:color w:val="auto"/>
        </w:rPr>
      </w:pPr>
    </w:p>
    <w:p>
      <w:pPr>
        <w:jc w:val="both"/>
        <w:ind w:firstLine="1288"/>
        <w:spacing w:after="0" w:line="262" w:lineRule="auto"/>
        <w:tabs>
          <w:tab w:leader="none" w:pos="1625" w:val="left"/>
        </w:tabs>
        <w:numPr>
          <w:ilvl w:val="0"/>
          <w:numId w:val="104"/>
        </w:numPr>
        <w:rPr>
          <w:rFonts w:ascii="Arial" w:cs="Arial" w:eastAsia="Arial" w:hAnsi="Arial"/>
          <w:sz w:val="12"/>
          <w:szCs w:val="12"/>
          <w:color w:val="auto"/>
        </w:rPr>
      </w:pPr>
      <w:r>
        <w:rPr>
          <w:rFonts w:ascii="Arial" w:cs="Arial" w:eastAsia="Arial" w:hAnsi="Arial"/>
          <w:sz w:val="12"/>
          <w:szCs w:val="12"/>
          <w:color w:val="auto"/>
        </w:rPr>
        <w:t>Limits on Acceleration or Waiver of Restrictions for Change-in-Control Transactions. No Award Agreement shall, by operation of its terms, accelerate the exercisability of any Award or the lapse of restrictions relating to any Award in connection with a reorganization, merger or consolidation of, or sale or other disposition of all or substantially all of the assets of, the Company unless such transaction constitutes a Change-in-Control and unless such acceleration occurs upon the consummation of (or effective immediately prior to the consummation of, provided that the consummation subsequently occurs) the Change-in-Control.</w:t>
      </w:r>
    </w:p>
    <w:p>
      <w:pPr>
        <w:spacing w:after="0" w:line="117" w:lineRule="exact"/>
        <w:rPr>
          <w:rFonts w:ascii="Arial" w:cs="Arial" w:eastAsia="Arial" w:hAnsi="Arial"/>
          <w:sz w:val="12"/>
          <w:szCs w:val="12"/>
          <w:color w:val="auto"/>
        </w:rPr>
      </w:pPr>
    </w:p>
    <w:p>
      <w:pPr>
        <w:jc w:val="both"/>
        <w:ind w:firstLine="1288"/>
        <w:spacing w:after="0" w:line="254" w:lineRule="auto"/>
        <w:tabs>
          <w:tab w:leader="none" w:pos="174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Section 409A Provisions. Notwithstanding anything in the Plan or any Award Agreement to the contrary, to the extent that any amount or benefit that constitutes “deferred compensation” to a Participant under Section 409A and applicable guidance thereunder is otherwise payable or distributable to a Participant under the Plan or any Award Agreement solely by reason of the occurrence of a Change-in-Control or due to the Participant’s disability or “separation from service” (as such term is defined under Section 409A), such amount or benefit will not be payable or distributable to the Participant by reason of such circumstance unless the Committee determines in good faith that (i) the circumstances giving rise to such Change-in-Control, disability or separation from service meet the definition of a change-in-control event, disability, or separation from service, as the case may be, in Section 409A(a)(2)(A) of the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Committee in good faith)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short-term deferral exemption or otherwise.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10" w:name="page111"/>
    <w:bookmarkEnd w:id="110"/>
    <w:p>
      <w:pPr>
        <w:spacing w:after="0"/>
        <w:tabs>
          <w:tab w:leader="none" w:pos="640" w:val="left"/>
        </w:tabs>
        <w:rPr>
          <w:sz w:val="20"/>
          <w:szCs w:val="20"/>
          <w:color w:val="auto"/>
        </w:rPr>
      </w:pPr>
      <w:r>
        <w:rPr>
          <w:rFonts w:ascii="Arial" w:cs="Arial" w:eastAsia="Arial" w:hAnsi="Arial"/>
          <w:sz w:val="12"/>
          <w:szCs w:val="12"/>
          <w:color w:val="auto"/>
        </w:rPr>
        <w:t>Section 7.</w:t>
      </w:r>
      <w:r>
        <w:rPr>
          <w:sz w:val="20"/>
          <w:szCs w:val="20"/>
          <w:color w:val="auto"/>
        </w:rPr>
        <w:tab/>
      </w:r>
      <w:r>
        <w:rPr>
          <w:rFonts w:ascii="Arial" w:cs="Arial" w:eastAsia="Arial" w:hAnsi="Arial"/>
          <w:sz w:val="11"/>
          <w:szCs w:val="11"/>
          <w:u w:val="single" w:color="auto"/>
          <w:color w:val="auto"/>
        </w:rPr>
        <w:t>Amendment and Termination; Corrections</w:t>
      </w:r>
      <w:r>
        <w:rPr>
          <w:rFonts w:ascii="Arial" w:cs="Arial" w:eastAsia="Arial" w:hAnsi="Arial"/>
          <w:sz w:val="11"/>
          <w:szCs w:val="11"/>
          <w:color w:val="auto"/>
        </w:rPr>
        <w:t>.</w:t>
      </w:r>
    </w:p>
    <w:p>
      <w:pPr>
        <w:spacing w:after="0" w:line="150" w:lineRule="exact"/>
        <w:rPr>
          <w:sz w:val="20"/>
          <w:szCs w:val="20"/>
          <w:color w:val="auto"/>
        </w:rPr>
      </w:pPr>
    </w:p>
    <w:p>
      <w:pPr>
        <w:jc w:val="both"/>
        <w:ind w:firstLine="856"/>
        <w:spacing w:after="0" w:line="259" w:lineRule="auto"/>
        <w:tabs>
          <w:tab w:leader="none" w:pos="1162"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Amendments to the Plan and Awards. The Board may from time to time amend, suspend or terminate this Plan, and the Committee may amend the terms of any previously granted Award, provided that no amendment to the terms of any previously granted Award may (except as expressly provided in the Plan) adversely alter or impair the terms or conditions of the Award previously granted to a Participant under this Plan without the written consent of the Participant or holder thereof. Any amendments to the Plan or an Award that are necessary or desirable to comply with applicable laws, rules, regulations and policies of any applicable governmental entity or stock exchange (including amendments to the Plan or Awards necessary or desirable to maximize any available tax deduction or to avoid any adverse tax results, and no action taken to comply with such laws, rules, regulations and policies shall be deemed to not impair or otherwise adversely alter or impair the rights of any holder of an Award or beneficiary thereof).</w:t>
      </w:r>
    </w:p>
    <w:p>
      <w:pPr>
        <w:spacing w:after="0" w:line="119" w:lineRule="exact"/>
        <w:rPr>
          <w:rFonts w:ascii="Arial" w:cs="Arial" w:eastAsia="Arial" w:hAnsi="Arial"/>
          <w:sz w:val="12"/>
          <w:szCs w:val="12"/>
          <w:color w:val="auto"/>
        </w:rPr>
      </w:pPr>
    </w:p>
    <w:p>
      <w:pPr>
        <w:jc w:val="both"/>
        <w:ind w:firstLine="856"/>
        <w:spacing w:after="0" w:line="268" w:lineRule="auto"/>
        <w:tabs>
          <w:tab w:leader="none" w:pos="1151"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Amendments Requiring Shareholder Approval. For greater certainty and without limiting the foregoing, the Board may amend, suspend, terminate or discontinue the Plan, and the Committee may amend or alter any previously granted Award, as applicable, without obtaining the approval of shareholders of the Company, except that prior approval of the shareholders of the Company shall be required for any amendment to the Plan or an Award that would:</w:t>
      </w:r>
    </w:p>
    <w:p>
      <w:pPr>
        <w:spacing w:after="0" w:line="113" w:lineRule="exact"/>
        <w:rPr>
          <w:rFonts w:ascii="Arial" w:cs="Arial" w:eastAsia="Arial" w:hAnsi="Arial"/>
          <w:sz w:val="12"/>
          <w:szCs w:val="12"/>
          <w:color w:val="auto"/>
        </w:rPr>
      </w:pPr>
    </w:p>
    <w:p>
      <w:pPr>
        <w:ind w:left="1540" w:hanging="252"/>
        <w:spacing w:after="0"/>
        <w:tabs>
          <w:tab w:leader="none" w:pos="154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require shareholder approval under the rules or regulations of the Securities and Exchange Commission, the NASDAQ Global Select Market or any other securities exchange that are</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applicable to the Company;</w:t>
      </w:r>
    </w:p>
    <w:p>
      <w:pPr>
        <w:spacing w:after="0" w:line="138" w:lineRule="exact"/>
        <w:rPr>
          <w:rFonts w:ascii="Arial" w:cs="Arial" w:eastAsia="Arial" w:hAnsi="Arial"/>
          <w:sz w:val="12"/>
          <w:szCs w:val="12"/>
          <w:color w:val="auto"/>
        </w:rPr>
      </w:pPr>
    </w:p>
    <w:p>
      <w:pPr>
        <w:ind w:left="1560" w:hanging="272"/>
        <w:spacing w:after="0"/>
        <w:tabs>
          <w:tab w:leader="none" w:pos="156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increase the number of shares authorized under the Plan as specified in Section 4(a) of the Plan;</w:t>
      </w:r>
    </w:p>
    <w:p>
      <w:pPr>
        <w:spacing w:after="0" w:line="150" w:lineRule="exact"/>
        <w:rPr>
          <w:rFonts w:ascii="Arial" w:cs="Arial" w:eastAsia="Arial" w:hAnsi="Arial"/>
          <w:sz w:val="12"/>
          <w:szCs w:val="12"/>
          <w:color w:val="auto"/>
        </w:rPr>
      </w:pPr>
    </w:p>
    <w:p>
      <w:pPr>
        <w:ind w:left="1580" w:hanging="292"/>
        <w:spacing w:after="0"/>
        <w:tabs>
          <w:tab w:leader="none" w:pos="158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permit repricing of Options or Stock Appreciation Rights, which is currently prohibited by Section 6 of the Plan;</w:t>
      </w:r>
    </w:p>
    <w:p>
      <w:pPr>
        <w:spacing w:after="0" w:line="150" w:lineRule="exact"/>
        <w:rPr>
          <w:rFonts w:ascii="Arial" w:cs="Arial" w:eastAsia="Arial" w:hAnsi="Arial"/>
          <w:sz w:val="12"/>
          <w:szCs w:val="12"/>
          <w:color w:val="auto"/>
        </w:rPr>
      </w:pPr>
    </w:p>
    <w:p>
      <w:pPr>
        <w:ind w:firstLine="1288"/>
        <w:spacing w:after="0" w:line="286" w:lineRule="auto"/>
        <w:tabs>
          <w:tab w:leader="none" w:pos="1614" w:val="left"/>
        </w:tabs>
        <w:numPr>
          <w:ilvl w:val="1"/>
          <w:numId w:val="105"/>
        </w:numPr>
        <w:rPr>
          <w:rFonts w:ascii="Arial" w:cs="Arial" w:eastAsia="Arial" w:hAnsi="Arial"/>
          <w:sz w:val="12"/>
          <w:szCs w:val="12"/>
          <w:color w:val="auto"/>
        </w:rPr>
      </w:pPr>
      <w:r>
        <w:rPr>
          <w:rFonts w:ascii="Arial" w:cs="Arial" w:eastAsia="Arial" w:hAnsi="Arial"/>
          <w:sz w:val="12"/>
          <w:szCs w:val="12"/>
          <w:color w:val="auto"/>
        </w:rPr>
        <w:t>permit the award of Options or Stock Appreciation Rights at a price less than one hundred percent (100%) of the Fair Market Value of a Share on the date of grant of such Option or Stock Appreciation Right, contrary to the provisions of Section 6(a)(i) and Section 6(b) of the Plan;</w:t>
      </w:r>
    </w:p>
    <w:p>
      <w:pPr>
        <w:spacing w:after="0" w:line="103" w:lineRule="exact"/>
        <w:rPr>
          <w:rFonts w:ascii="Arial" w:cs="Arial" w:eastAsia="Arial" w:hAnsi="Arial"/>
          <w:sz w:val="12"/>
          <w:szCs w:val="12"/>
          <w:color w:val="auto"/>
        </w:rPr>
      </w:pPr>
    </w:p>
    <w:p>
      <w:pPr>
        <w:ind w:left="1560" w:hanging="272"/>
        <w:spacing w:after="0"/>
        <w:tabs>
          <w:tab w:leader="none" w:pos="156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increase the maximum term permitted for Options and Stock Appreciation Rights as specified in Section 6(a) and Section 6(b); or</w:t>
      </w:r>
    </w:p>
    <w:p>
      <w:pPr>
        <w:spacing w:after="0" w:line="150" w:lineRule="exact"/>
        <w:rPr>
          <w:rFonts w:ascii="Arial" w:cs="Arial" w:eastAsia="Arial" w:hAnsi="Arial"/>
          <w:sz w:val="12"/>
          <w:szCs w:val="12"/>
          <w:color w:val="auto"/>
        </w:rPr>
      </w:pPr>
    </w:p>
    <w:p>
      <w:pPr>
        <w:ind w:left="1580" w:hanging="292"/>
        <w:spacing w:after="0"/>
        <w:tabs>
          <w:tab w:leader="none" w:pos="158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increase the number of shares subject to the limitations contained in Section 4(d) of the Plan.</w:t>
      </w:r>
    </w:p>
    <w:p>
      <w:pPr>
        <w:spacing w:after="0" w:line="150" w:lineRule="exact"/>
        <w:rPr>
          <w:rFonts w:ascii="Arial" w:cs="Arial" w:eastAsia="Arial" w:hAnsi="Arial"/>
          <w:sz w:val="12"/>
          <w:szCs w:val="12"/>
          <w:color w:val="auto"/>
        </w:rPr>
      </w:pPr>
    </w:p>
    <w:p>
      <w:pPr>
        <w:jc w:val="both"/>
        <w:ind w:firstLine="856"/>
        <w:spacing w:after="0" w:line="259" w:lineRule="auto"/>
        <w:tabs>
          <w:tab w:leader="none" w:pos="1143" w:val="left"/>
        </w:tabs>
        <w:numPr>
          <w:ilvl w:val="0"/>
          <w:numId w:val="105"/>
        </w:numPr>
        <w:rPr>
          <w:rFonts w:ascii="Arial" w:cs="Arial" w:eastAsia="Arial" w:hAnsi="Arial"/>
          <w:sz w:val="12"/>
          <w:szCs w:val="12"/>
          <w:color w:val="auto"/>
        </w:rPr>
      </w:pPr>
      <w:r>
        <w:rPr>
          <w:rFonts w:ascii="Arial" w:cs="Arial" w:eastAsia="Arial" w:hAnsi="Arial"/>
          <w:sz w:val="12"/>
          <w:szCs w:val="12"/>
          <w:color w:val="auto"/>
        </w:rPr>
        <w:t>Corporate Transactions. In the event of any reorganization, merger, consolidation, split-up, spin-off, combination, plan of arrangement, take-over bid or tender offer, repurchase or exchange of Shares or other securities of the Company or any other similar corporate transaction or event involving the Company (or the Company shall enter into a written agreement to undergo such a transaction or event), the Committee or the Board may provide for any of the following to be effective upon the consummation of the event (or effective immediately prior to the consummation of the event, provided that the consummation of the event subsequently occurs), and no action taken under this Section 7(c) shall be deemed to impair or otherwise adversely alter or impair the rights of any holder of an Award or beneficiary thereof:</w:t>
      </w:r>
    </w:p>
    <w:p>
      <w:pPr>
        <w:spacing w:after="0" w:line="119" w:lineRule="exact"/>
        <w:rPr>
          <w:rFonts w:ascii="Arial" w:cs="Arial" w:eastAsia="Arial" w:hAnsi="Arial"/>
          <w:sz w:val="12"/>
          <w:szCs w:val="12"/>
          <w:color w:val="auto"/>
        </w:rPr>
      </w:pPr>
    </w:p>
    <w:p>
      <w:pPr>
        <w:jc w:val="both"/>
        <w:ind w:firstLine="1288"/>
        <w:spacing w:after="0" w:line="262" w:lineRule="auto"/>
        <w:tabs>
          <w:tab w:leader="none" w:pos="154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either (A) termination of any Award, whether or not vested, in exchange for an amount of cash and/or other property, if any, equal to the amount that would have been attained upon the exercise of the Award or realization of the Participant’s rights (and, for the avoidance of doubt, if, as of the date of the occurrence of the transaction or event described in this Section 7(c)(i)(A), the Committee or the Board determines in good faith that no amount would have been attained upon the exercise of the Award or realization of the Participant’s rights, then the Award may be terminated by the Company without any payment) or (B) the replacement of the Award with other rights or property selected by the Committee or the Board, in its sole discretion;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73" w:right="299" w:bottom="1440" w:gutter="0" w:footer="0" w:header="0"/>
        </w:sectPr>
      </w:pPr>
    </w:p>
    <w:bookmarkStart w:id="111" w:name="page112"/>
    <w:bookmarkEnd w:id="111"/>
    <w:p>
      <w:pPr>
        <w:ind w:right="20" w:firstLine="1288"/>
        <w:spacing w:after="0" w:line="286" w:lineRule="auto"/>
        <w:tabs>
          <w:tab w:leader="none" w:pos="157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that the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03" w:lineRule="exact"/>
        <w:rPr>
          <w:rFonts w:ascii="Arial" w:cs="Arial" w:eastAsia="Arial" w:hAnsi="Arial"/>
          <w:sz w:val="12"/>
          <w:szCs w:val="12"/>
          <w:color w:val="auto"/>
        </w:rPr>
      </w:pPr>
    </w:p>
    <w:p>
      <w:pPr>
        <w:ind w:left="1600" w:hanging="312"/>
        <w:spacing w:after="0"/>
        <w:tabs>
          <w:tab w:leader="none" w:pos="160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that the Award shall be exercisable or payable or fully vested with respect to all Shares covered thereby, notwithstanding anything to the contrary in the applicable Award Agreement;</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or</w:t>
      </w:r>
    </w:p>
    <w:p>
      <w:pPr>
        <w:spacing w:after="0" w:line="138" w:lineRule="exact"/>
        <w:rPr>
          <w:rFonts w:ascii="Arial" w:cs="Arial" w:eastAsia="Arial" w:hAnsi="Arial"/>
          <w:sz w:val="12"/>
          <w:szCs w:val="12"/>
          <w:color w:val="auto"/>
        </w:rPr>
      </w:pPr>
    </w:p>
    <w:p>
      <w:pPr>
        <w:ind w:left="1580" w:hanging="292"/>
        <w:spacing w:after="0"/>
        <w:tabs>
          <w:tab w:leader="none" w:pos="158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that the Award cannot vest, be exercised or become payable after a date certain in the future, which may be the effective date of the event.</w:t>
      </w:r>
    </w:p>
    <w:p>
      <w:pPr>
        <w:spacing w:after="0" w:line="150" w:lineRule="exact"/>
        <w:rPr>
          <w:rFonts w:ascii="Arial" w:cs="Arial" w:eastAsia="Arial" w:hAnsi="Arial"/>
          <w:sz w:val="12"/>
          <w:szCs w:val="12"/>
          <w:color w:val="auto"/>
        </w:rPr>
      </w:pPr>
    </w:p>
    <w:p>
      <w:pPr>
        <w:ind w:firstLine="856"/>
        <w:spacing w:after="0" w:line="286" w:lineRule="auto"/>
        <w:tabs>
          <w:tab w:leader="none" w:pos="11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Correction of Defects, Omissions and Inconsistencies. The Committee may, without prior approval of the shareholders of the Company, correct any defect, supply any omission or reconcile any inconsistency in the Plan or in any Award or Award Agreement in the manner and to the extent it shall deem desirable to implement or maintain the effectiveness of the Plan.</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Section 8.</w:t>
      </w:r>
      <w:r>
        <w:rPr>
          <w:sz w:val="20"/>
          <w:szCs w:val="20"/>
          <w:color w:val="auto"/>
        </w:rPr>
        <w:tab/>
      </w:r>
      <w:r>
        <w:rPr>
          <w:rFonts w:ascii="Arial" w:cs="Arial" w:eastAsia="Arial" w:hAnsi="Arial"/>
          <w:sz w:val="11"/>
          <w:szCs w:val="11"/>
          <w:u w:val="single" w:color="auto"/>
          <w:color w:val="auto"/>
        </w:rPr>
        <w:t>Income Tax Withholding</w:t>
      </w:r>
      <w:r>
        <w:rPr>
          <w:rFonts w:ascii="Arial" w:cs="Arial" w:eastAsia="Arial" w:hAnsi="Arial"/>
          <w:sz w:val="11"/>
          <w:szCs w:val="11"/>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In order to comply with all applicable federal, state, local or foreign income tax laws or regulations, the Company may take such action as it deems appropriate to ensure that all applicable federal, state, local or foreign payroll, withholding, income or other taxes, which are the sole and absolute responsibility of a Participant are withheld or collected from such Participant. In order to assist a Participant in paying all or a portion of the applicable taxes to be withheld or collected upon exercise or receipt of (or the lapse of restrictions relating to) an Award, the Committee, in its discretion and subject to such additional terms and conditions as it may adopt, may permit the Participant to satisfy such tax obligation by (a) electing to have the Company withhold a portion of the Shares otherwise to be delivered upon exercise or receipt of (or the lapse of restrictions relating to) such Award with a Fair Market Value equal to the amount of such taxes or (b) delivering to the Company Shares other than Shares issuable upon exercise or receipt of (or the lapse of restrictions relating to) such Award with a Fair Market Value equal to the amount of such taxes. The election, if any, must be made on or before the date that the amount of tax to be withheld is determined.</w:t>
      </w:r>
    </w:p>
    <w:p>
      <w:pPr>
        <w:spacing w:after="0" w:line="122"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Section 9.</w:t>
      </w:r>
      <w:r>
        <w:rPr>
          <w:sz w:val="20"/>
          <w:szCs w:val="20"/>
          <w:color w:val="auto"/>
        </w:rPr>
        <w:tab/>
      </w:r>
      <w:r>
        <w:rPr>
          <w:rFonts w:ascii="Arial" w:cs="Arial" w:eastAsia="Arial" w:hAnsi="Arial"/>
          <w:sz w:val="11"/>
          <w:szCs w:val="11"/>
          <w:u w:val="single" w:color="auto"/>
          <w:color w:val="auto"/>
        </w:rPr>
        <w:t>General Provisions</w:t>
      </w:r>
      <w:r>
        <w:rPr>
          <w:rFonts w:ascii="Arial" w:cs="Arial" w:eastAsia="Arial" w:hAnsi="Arial"/>
          <w:sz w:val="11"/>
          <w:szCs w:val="11"/>
          <w:color w:val="auto"/>
        </w:rPr>
        <w:t>.</w:t>
      </w:r>
    </w:p>
    <w:p>
      <w:pPr>
        <w:spacing w:after="0" w:line="150" w:lineRule="exact"/>
        <w:rPr>
          <w:sz w:val="20"/>
          <w:szCs w:val="20"/>
          <w:color w:val="auto"/>
        </w:rPr>
      </w:pPr>
    </w:p>
    <w:p>
      <w:pPr>
        <w:ind w:firstLine="856"/>
        <w:spacing w:after="0" w:line="286" w:lineRule="auto"/>
        <w:tabs>
          <w:tab w:leader="none" w:pos="117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 Rights to Awards. No Eligible Person, Participant or other Person shall have any claim to be granted any Award 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spacing w:after="0" w:line="103" w:lineRule="exact"/>
        <w:rPr>
          <w:rFonts w:ascii="Arial" w:cs="Arial" w:eastAsia="Arial" w:hAnsi="Arial"/>
          <w:sz w:val="12"/>
          <w:szCs w:val="12"/>
          <w:color w:val="auto"/>
        </w:rPr>
      </w:pPr>
    </w:p>
    <w:p>
      <w:pPr>
        <w:ind w:firstLine="856"/>
        <w:spacing w:after="0" w:line="334" w:lineRule="auto"/>
        <w:tabs>
          <w:tab w:leader="none" w:pos="1137" w:val="left"/>
        </w:tabs>
        <w:numPr>
          <w:ilvl w:val="0"/>
          <w:numId w:val="108"/>
        </w:numPr>
        <w:rPr>
          <w:rFonts w:ascii="Arial" w:cs="Arial" w:eastAsia="Arial" w:hAnsi="Arial"/>
          <w:sz w:val="11"/>
          <w:szCs w:val="11"/>
          <w:color w:val="auto"/>
        </w:rPr>
      </w:pPr>
      <w:r>
        <w:rPr>
          <w:rFonts w:ascii="Arial" w:cs="Arial" w:eastAsia="Arial" w:hAnsi="Arial"/>
          <w:sz w:val="11"/>
          <w:szCs w:val="11"/>
          <w:color w:val="auto"/>
        </w:rPr>
        <w:t>Award Agreements. No Participant shall have rights under an Award granted to such Participant unless and until an Award Agreement shall have been duly executed on behalf of the Company and, if requested by the Company, signed by the Participant, or until such Award Agreement is delivered and accepted through any electronic medium in accordance with procedures established by the Company.</w:t>
      </w:r>
    </w:p>
    <w:p>
      <w:pPr>
        <w:spacing w:after="0" w:line="79" w:lineRule="exact"/>
        <w:rPr>
          <w:rFonts w:ascii="Arial" w:cs="Arial" w:eastAsia="Arial" w:hAnsi="Arial"/>
          <w:sz w:val="11"/>
          <w:szCs w:val="11"/>
          <w:color w:val="auto"/>
        </w:rPr>
      </w:pPr>
    </w:p>
    <w:p>
      <w:pPr>
        <w:jc w:val="both"/>
        <w:ind w:firstLine="856"/>
        <w:spacing w:after="0" w:line="268" w:lineRule="auto"/>
        <w:tabs>
          <w:tab w:leader="none" w:pos="115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 Rights of Shareholders. Except with respect to Shares issued under Awards (and subject to such conditions as the Committee may impose on such Awards pursuant to Section 6(c)(i) or Section 6(d)), neither a Participant nor the Participant’s legal representative shall be, or have any of the rights and privileges of, a shareholder of the Company with respect to any Shares issuable upon the exercise or payment of any Award, in whole or in part, unless and until such Shares have been issued.</w:t>
      </w:r>
    </w:p>
    <w:p>
      <w:pPr>
        <w:spacing w:after="0" w:line="113" w:lineRule="exact"/>
        <w:rPr>
          <w:rFonts w:ascii="Arial" w:cs="Arial" w:eastAsia="Arial" w:hAnsi="Arial"/>
          <w:sz w:val="12"/>
          <w:szCs w:val="12"/>
          <w:color w:val="auto"/>
        </w:rPr>
      </w:pPr>
    </w:p>
    <w:p>
      <w:pPr>
        <w:ind w:firstLine="856"/>
        <w:spacing w:after="0" w:line="286" w:lineRule="auto"/>
        <w:tabs>
          <w:tab w:leader="none" w:pos="118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 Limit on Other Compensation Plans or Arrangements. Nothing contained in the Plan shall prevent the Company or any Affiliate from adopting or continuing in effect other or additional compensation plans or arrangements, and such plans or arrangements may be either generally applicable or applicable only in specific cases.</w:t>
      </w:r>
    </w:p>
    <w:p>
      <w:pPr>
        <w:spacing w:after="0" w:line="103" w:lineRule="exact"/>
        <w:rPr>
          <w:rFonts w:ascii="Arial" w:cs="Arial" w:eastAsia="Arial" w:hAnsi="Arial"/>
          <w:sz w:val="12"/>
          <w:szCs w:val="12"/>
          <w:color w:val="auto"/>
        </w:rPr>
      </w:pPr>
    </w:p>
    <w:p>
      <w:pPr>
        <w:jc w:val="both"/>
        <w:ind w:firstLine="856"/>
        <w:spacing w:after="0" w:line="268" w:lineRule="auto"/>
        <w:tabs>
          <w:tab w:leader="none" w:pos="1162"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 Right to Employment. The grant of an Award shall not be construed as giving a Participant the right to be retained as an employee of the Company or any Affiliate, nor will it affect in any way the right of the Company or an Affiliate to terminate a Participant’s employment at any time, with or without cause, in accordance with applicable law. In addition, the Company or an Affiliate may at any time dismiss a</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12"/>
          <w:szCs w:val="12"/>
          <w:color w:val="auto"/>
        </w:rPr>
        <w:t>Participant from employment free from any liability or any claim under the Plan or any Award, unless otherwise expressly provided in the Plan or in any Award Agreement. Nothing in this Plan shall confer on any person any legal or equitable right against the Company or any Affiliate, directly or indirectly, or give rise to any cause of action at law or in equity against the Company or an Affiliate. Under no circumstances shall any person ceasing to be an employee of the Company or any Affiliate be entitled to any compensation for any loss of any right or benefit under the Plan which such employee might otherwise have enjoyed but for termination of employment, whether such compensation is claimed by way of damages for wrongful or unfair dismissal, breach of contract or otherwise. By participating in the Plan, each Participant shall be deemed to have accepted all the conditions of the Plan and the terms and conditions of any rules and regulations adopted by the Committee and shall be fully bound thereby.</w:t>
      </w:r>
    </w:p>
    <w:p>
      <w:pPr>
        <w:spacing w:after="0" w:line="119" w:lineRule="exact"/>
        <w:rPr>
          <w:sz w:val="20"/>
          <w:szCs w:val="20"/>
          <w:color w:val="auto"/>
        </w:rPr>
      </w:pPr>
    </w:p>
    <w:p>
      <w:pPr>
        <w:ind w:right="20" w:firstLine="856"/>
        <w:spacing w:after="0" w:line="286" w:lineRule="auto"/>
        <w:tabs>
          <w:tab w:leader="none" w:pos="1117" w:val="left"/>
        </w:tabs>
        <w:numPr>
          <w:ilvl w:val="0"/>
          <w:numId w:val="109"/>
        </w:numPr>
        <w:rPr>
          <w:rFonts w:ascii="Arial" w:cs="Arial" w:eastAsia="Arial" w:hAnsi="Arial"/>
          <w:sz w:val="12"/>
          <w:szCs w:val="12"/>
          <w:color w:val="auto"/>
        </w:rPr>
      </w:pPr>
      <w:r>
        <w:rPr>
          <w:rFonts w:ascii="Arial" w:cs="Arial" w:eastAsia="Arial" w:hAnsi="Arial"/>
          <w:sz w:val="12"/>
          <w:szCs w:val="12"/>
          <w:color w:val="auto"/>
        </w:rPr>
        <w:t>Governing Law. The validity, construction and effect of the Plan or any Award, and any rules and regulations relating to the Plan or any Award, shall be determined in accordance with the laws of the State of Minnesota.</w:t>
      </w:r>
    </w:p>
    <w:p>
      <w:pPr>
        <w:spacing w:after="0" w:line="103" w:lineRule="exact"/>
        <w:rPr>
          <w:rFonts w:ascii="Arial" w:cs="Arial" w:eastAsia="Arial" w:hAnsi="Arial"/>
          <w:sz w:val="12"/>
          <w:szCs w:val="12"/>
          <w:color w:val="auto"/>
        </w:rPr>
      </w:pPr>
    </w:p>
    <w:p>
      <w:pPr>
        <w:jc w:val="both"/>
        <w:ind w:firstLine="856"/>
        <w:spacing w:after="0" w:line="262" w:lineRule="auto"/>
        <w:tabs>
          <w:tab w:leader="none" w:pos="1151" w:val="left"/>
        </w:tabs>
        <w:numPr>
          <w:ilvl w:val="0"/>
          <w:numId w:val="109"/>
        </w:numPr>
        <w:rPr>
          <w:rFonts w:ascii="Arial" w:cs="Arial" w:eastAsia="Arial" w:hAnsi="Arial"/>
          <w:sz w:val="12"/>
          <w:szCs w:val="12"/>
          <w:color w:val="auto"/>
        </w:rPr>
      </w:pPr>
      <w:r>
        <w:rPr>
          <w:rFonts w:ascii="Arial" w:cs="Arial" w:eastAsia="Arial" w:hAnsi="Arial"/>
          <w:sz w:val="12"/>
          <w:szCs w:val="12"/>
          <w:color w:val="auto"/>
        </w:rPr>
        <w:t>Severability. If any provision of the Plan or any Award is or becomes or is deemed to be invalid, illegal or 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spacing w:after="0" w:line="117" w:lineRule="exact"/>
        <w:rPr>
          <w:rFonts w:ascii="Arial" w:cs="Arial" w:eastAsia="Arial" w:hAnsi="Arial"/>
          <w:sz w:val="12"/>
          <w:szCs w:val="12"/>
          <w:color w:val="auto"/>
        </w:rPr>
      </w:pPr>
    </w:p>
    <w:p>
      <w:pPr>
        <w:jc w:val="both"/>
        <w:ind w:firstLine="856"/>
        <w:spacing w:after="0" w:line="268" w:lineRule="auto"/>
        <w:tabs>
          <w:tab w:leader="none" w:pos="116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13" w:lineRule="exact"/>
        <w:rPr>
          <w:rFonts w:ascii="Arial" w:cs="Arial" w:eastAsia="Arial" w:hAnsi="Arial"/>
          <w:sz w:val="12"/>
          <w:szCs w:val="12"/>
          <w:color w:val="auto"/>
        </w:rPr>
      </w:pPr>
    </w:p>
    <w:p>
      <w:pPr>
        <w:ind w:firstLine="856"/>
        <w:spacing w:after="0" w:line="286" w:lineRule="auto"/>
        <w:tabs>
          <w:tab w:leader="none" w:pos="11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 Fractional Shares. No fractional Shares shall be issued or delivered pursuant to the Plan or any Award, and the Committee shall determine whether cash shall be paid in lieu of any fractional Share or whether such fractional Share or any rights thereto shall be cancelled, terminated or otherwise eliminated.</w:t>
      </w:r>
    </w:p>
    <w:p>
      <w:pPr>
        <w:spacing w:after="0" w:line="103" w:lineRule="exact"/>
        <w:rPr>
          <w:rFonts w:ascii="Arial" w:cs="Arial" w:eastAsia="Arial" w:hAnsi="Arial"/>
          <w:sz w:val="12"/>
          <w:szCs w:val="12"/>
          <w:color w:val="auto"/>
        </w:rPr>
      </w:pPr>
    </w:p>
    <w:p>
      <w:pPr>
        <w:ind w:firstLine="856"/>
        <w:spacing w:after="0" w:line="286" w:lineRule="auto"/>
        <w:tabs>
          <w:tab w:leader="none" w:pos="110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03" w:lineRule="exact"/>
        <w:rPr>
          <w:rFonts w:ascii="Arial" w:cs="Arial" w:eastAsia="Arial" w:hAnsi="Arial"/>
          <w:sz w:val="12"/>
          <w:szCs w:val="12"/>
          <w:color w:val="auto"/>
        </w:rPr>
      </w:pPr>
    </w:p>
    <w:p>
      <w:pPr>
        <w:ind w:firstLine="856"/>
        <w:spacing w:after="0" w:line="160" w:lineRule="exact"/>
        <w:tabs>
          <w:tab w:leader="none" w:pos="1137" w:val="left"/>
        </w:tabs>
        <w:numPr>
          <w:ilvl w:val="0"/>
          <w:numId w:val="109"/>
        </w:numPr>
        <w:rPr>
          <w:rFonts w:ascii="Arial" w:cs="Arial" w:eastAsia="Arial" w:hAnsi="Arial"/>
          <w:sz w:val="12"/>
          <w:szCs w:val="12"/>
          <w:color w:val="auto"/>
        </w:rPr>
      </w:pPr>
      <w:r>
        <w:rPr>
          <w:rFonts w:ascii="Arial" w:cs="Arial" w:eastAsia="Arial" w:hAnsi="Arial"/>
          <w:sz w:val="12"/>
          <w:szCs w:val="12"/>
          <w:color w:val="auto"/>
        </w:rPr>
        <w:t>Other Benefits. No compensation or benefit awarded to or realized by any Participant under the Plan shall be included for the purpose of computing such Participant’s compensation under any compensation</w:t>
      </w:r>
      <w:r>
        <w:rPr>
          <w:rFonts w:ascii="MS PGothic" w:cs="MS PGothic" w:eastAsia="MS PGothic" w:hAnsi="MS PGothic"/>
          <w:sz w:val="12"/>
          <w:szCs w:val="12"/>
          <w:color w:val="auto"/>
        </w:rPr>
        <w:t>‑</w:t>
      </w:r>
      <w:r>
        <w:rPr>
          <w:rFonts w:ascii="Arial" w:cs="Arial" w:eastAsia="Arial" w:hAnsi="Arial"/>
          <w:sz w:val="12"/>
          <w:szCs w:val="12"/>
          <w:color w:val="auto"/>
        </w:rPr>
        <w:t>based retirement, disability, or similar plan of the Company unless required by law or otherwise provided by such other plan.</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color w:val="auto"/>
        </w:rPr>
        <w:t>Section 10.</w:t>
      </w:r>
      <w:r>
        <w:rPr>
          <w:sz w:val="20"/>
          <w:szCs w:val="20"/>
          <w:color w:val="auto"/>
        </w:rPr>
        <w:tab/>
      </w:r>
      <w:r>
        <w:rPr>
          <w:rFonts w:ascii="Arial" w:cs="Arial" w:eastAsia="Arial" w:hAnsi="Arial"/>
          <w:sz w:val="12"/>
          <w:szCs w:val="12"/>
          <w:u w:val="single" w:color="auto"/>
          <w:color w:val="auto"/>
        </w:rPr>
        <w:t>Clawback or Recoupment</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2"/>
          <w:szCs w:val="12"/>
          <w:color w:val="auto"/>
        </w:rPr>
        <w:t>In addition to such forfeiture and/or penalty conditions as specified in any Award Agreement, Awards under this Plan shall be subject to forfeiture or other penalties pursuant any clawback or similar recoupment policy as may be established or amended from time to time.</w:t>
      </w:r>
    </w:p>
    <w:p>
      <w:pPr>
        <w:spacing w:after="0" w:line="103"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color w:val="auto"/>
        </w:rPr>
        <w:t>Section 11.</w:t>
      </w:r>
      <w:r>
        <w:rPr>
          <w:sz w:val="20"/>
          <w:szCs w:val="20"/>
          <w:color w:val="auto"/>
        </w:rPr>
        <w:tab/>
      </w:r>
      <w:r>
        <w:rPr>
          <w:rFonts w:ascii="Arial" w:cs="Arial" w:eastAsia="Arial" w:hAnsi="Arial"/>
          <w:sz w:val="11"/>
          <w:szCs w:val="11"/>
          <w:u w:val="single" w:color="auto"/>
          <w:color w:val="auto"/>
        </w:rPr>
        <w:t>Effective Date of the Plan</w:t>
      </w:r>
      <w:r>
        <w:rPr>
          <w:rFonts w:ascii="Arial" w:cs="Arial" w:eastAsia="Arial" w:hAnsi="Arial"/>
          <w:sz w:val="11"/>
          <w:szCs w:val="11"/>
          <w:color w:val="auto"/>
        </w:rPr>
        <w:t>.</w:t>
      </w:r>
    </w:p>
    <w:p>
      <w:pPr>
        <w:spacing w:after="0" w:line="150"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2"/>
          <w:szCs w:val="12"/>
          <w:color w:val="auto"/>
        </w:rPr>
        <w:t>The Plan was adopted by the Board on June 26, 2019. The Plan shall be subject to approval by the shareholders of the Company at the annual meeting of shareholders of the Company to be held on January 14, 2020 and the Plan shall be effective as of the date of such shareholder approval. On and after shareholder approval of the Plan, no awards shall be granted under the Prior Stock Plan, but all outstanding awards previously granted under the Prior Stock Plan shall remain outstanding and subject to the terms of the Prior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13" w:name="page114"/>
    <w:bookmarkEnd w:id="113"/>
    <w:p>
      <w:pPr>
        <w:spacing w:after="0"/>
        <w:tabs>
          <w:tab w:leader="none" w:pos="700" w:val="left"/>
        </w:tabs>
        <w:rPr>
          <w:sz w:val="20"/>
          <w:szCs w:val="20"/>
          <w:color w:val="auto"/>
        </w:rPr>
      </w:pPr>
      <w:r>
        <w:rPr>
          <w:rFonts w:ascii="Arial" w:cs="Arial" w:eastAsia="Arial" w:hAnsi="Arial"/>
          <w:sz w:val="12"/>
          <w:szCs w:val="12"/>
          <w:color w:val="auto"/>
        </w:rPr>
        <w:t>Section 12.</w:t>
      </w:r>
      <w:r>
        <w:rPr>
          <w:sz w:val="20"/>
          <w:szCs w:val="20"/>
          <w:color w:val="auto"/>
        </w:rPr>
        <w:tab/>
      </w:r>
      <w:r>
        <w:rPr>
          <w:rFonts w:ascii="Arial" w:cs="Arial" w:eastAsia="Arial" w:hAnsi="Arial"/>
          <w:sz w:val="11"/>
          <w:szCs w:val="11"/>
          <w:u w:val="single" w:color="auto"/>
          <w:color w:val="auto"/>
        </w:rPr>
        <w:t>Term of the Plan</w:t>
      </w:r>
      <w:r>
        <w:rPr>
          <w:rFonts w:ascii="Arial" w:cs="Arial" w:eastAsia="Arial" w:hAnsi="Arial"/>
          <w:sz w:val="11"/>
          <w:szCs w:val="11"/>
          <w:color w:val="auto"/>
        </w:rPr>
        <w:t>.</w:t>
      </w:r>
    </w:p>
    <w:p>
      <w:pPr>
        <w:spacing w:after="0" w:line="150"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2"/>
          <w:szCs w:val="12"/>
          <w:color w:val="auto"/>
        </w:rPr>
        <w:t>No Award shall be granted under the Plan, and the Plan shall terminate, on June 26, 2029 or any earlier date of discontinuation or termination established pursuant to Section 7(a) of the Plan. Unless otherwise expressly provided in the Plan or in an applicable Award Agreement, any Award theretofore granted may extend beyond such dates, and the authority of the Committee provided for hereunder with respect to the Plan and any Awards, and the authority of the Board to amend the Plan, shall extend beyond the termination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Adopted by Board June 26, 2019, subject to shareholder approval</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Approved by shareholders on January 14, 2020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Amended and Restated by Board April 21, 2021, subject to shareholder approval</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Approved by shareholders on June 23, 2021</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Amended and Restated by Board April 23, 2026, subject to shareholder approval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lvl w:ilvl="1">
      <w:lvlJc w:val="left"/>
      <w:lvlText w:val="•"/>
      <w:numFmt w:val="bullet"/>
      <w:start w:val="1"/>
    </w:lvl>
  </w:abstractNum>
  <w:abstractNum w:abstractNumId="13">
    <w:nsid w:val="3F6AB60F"/>
    <w:multiLevelType w:val="hybridMultilevel"/>
    <w:lvl w:ilvl="0">
      <w:lvlJc w:val="left"/>
      <w:lvlText w:val="•"/>
      <w:numFmt w:val="bullet"/>
      <w:start w:val="1"/>
    </w:lvl>
    <w:lvl w:ilvl="1">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decimal"/>
      <w:start w:val="3"/>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1)"/>
      <w:numFmt w:val="decimal"/>
      <w:start w:val="1"/>
    </w:lvl>
  </w:abstractNum>
  <w:abstractNum w:abstractNumId="24">
    <w:nsid w:val="1F48EAA1"/>
    <w:multiLevelType w:val="hybridMultilevel"/>
    <w:lvl w:ilvl="0">
      <w:lvlJc w:val="left"/>
      <w:lvlText w:val="(%1)"/>
      <w:numFmt w:val="decimal"/>
      <w:start w:val="3"/>
    </w:lvl>
  </w:abstractNum>
  <w:abstractNum w:abstractNumId="25">
    <w:nsid w:val="1381823A"/>
    <w:multiLevelType w:val="hybridMultilevel"/>
    <w:lvl w:ilvl="0">
      <w:lvlJc w:val="left"/>
      <w:lvlText w:val="(%1)"/>
      <w:numFmt w:val="decimal"/>
      <w:start w:val="4"/>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A"/>
      <w:numFmt w:val="bullet"/>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1."/>
      <w:numFmt w:val="decimal"/>
      <w:start w:val="3"/>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1)"/>
      <w:numFmt w:val="decimal"/>
      <w:start w:val="1"/>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1)"/>
      <w:numFmt w:val="decimal"/>
      <w:start w:val="6"/>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3"/>
    </w:lvl>
  </w:abstractNum>
  <w:abstractNum w:abstractNumId="50">
    <w:nsid w:val="68EB2F63"/>
    <w:multiLevelType w:val="hybridMultilevel"/>
    <w:lvl w:ilvl="0">
      <w:lvlJc w:val="left"/>
      <w:lvlText w:val="%1"/>
      <w:numFmt w:val="decimal"/>
      <w:start w:val="1"/>
    </w:lvl>
    <w:lvl w:ilvl="1">
      <w:lvlJc w:val="left"/>
      <w:lvlText w:val="(%2)"/>
      <w:numFmt w:val="lowerLetter"/>
      <w:start w:val="1"/>
    </w:lvl>
  </w:abstractNum>
  <w:abstractNum w:abstractNumId="51">
    <w:nsid w:val="4962813B"/>
    <w:multiLevelType w:val="hybridMultilevel"/>
    <w:lvl w:ilvl="0">
      <w:lvlJc w:val="left"/>
      <w:lvlText w:val="(%1)"/>
      <w:numFmt w:val="decimal"/>
      <w:start w:val="5"/>
    </w:lvl>
    <w:lvl w:ilvl="1">
      <w:lvlJc w:val="left"/>
      <w:lvlText w:val="%2"/>
      <w:numFmt w:val="lowerLetter"/>
      <w:start w:val="1"/>
    </w:lvl>
  </w:abstractNum>
  <w:abstractNum w:abstractNumId="52">
    <w:nsid w:val="60B6DF70"/>
    <w:multiLevelType w:val="hybridMultilevel"/>
    <w:lvl w:ilvl="0">
      <w:lvlJc w:val="left"/>
      <w:lvlText w:val="(%1)"/>
      <w:numFmt w:val="decimal"/>
      <w:start w:val="1"/>
    </w:lvl>
  </w:abstractNum>
  <w:abstractNum w:abstractNumId="53">
    <w:nsid w:val="6A5EE64"/>
    <w:multiLevelType w:val="hybridMultilevel"/>
    <w:lvl w:ilvl="0">
      <w:lvlJc w:val="left"/>
      <w:lvlText w:val="(%1)"/>
      <w:numFmt w:val="decimal"/>
      <w:start w:val="5"/>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decimal"/>
      <w:start w:val="5"/>
    </w:lvl>
  </w:abstractNum>
  <w:abstractNum w:abstractNumId="56">
    <w:nsid w:val="1A27709E"/>
    <w:multiLevelType w:val="hybridMultilevel"/>
    <w:lvl w:ilvl="0">
      <w:lvlJc w:val="left"/>
      <w:lvlText w:val="(%1)"/>
      <w:numFmt w:val="decimal"/>
      <w:start w:val="6"/>
    </w:lvl>
  </w:abstractNum>
  <w:abstractNum w:abstractNumId="57">
    <w:nsid w:val="71EA1109"/>
    <w:multiLevelType w:val="hybridMultilevel"/>
    <w:lvl w:ilvl="0">
      <w:lvlJc w:val="left"/>
      <w:lvlText w:val="(%1)"/>
      <w:numFmt w:val="decimal"/>
      <w:start w:val="7"/>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decimal"/>
      <w:start w:val="4"/>
    </w:lvl>
  </w:abstractNum>
  <w:abstractNum w:abstractNumId="65">
    <w:nsid w:val="4C04A8AF"/>
    <w:multiLevelType w:val="hybridMultilevel"/>
    <w:lvl w:ilvl="0">
      <w:lvlJc w:val="left"/>
      <w:lvlText w:val="(%1)"/>
      <w:numFmt w:val="decimal"/>
      <w:start w:val="5"/>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1)"/>
      <w:numFmt w:val="decimal"/>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2"/>
    </w:lvl>
  </w:abstractNum>
  <w:abstractNum w:abstractNumId="75">
    <w:nsid w:val="57FC4FBB"/>
    <w:multiLevelType w:val="hybridMultilevel"/>
    <w:lvl w:ilvl="0">
      <w:lvlJc w:val="left"/>
      <w:lvlText w:val="%1."/>
      <w:numFmt w:val="decimal"/>
      <w:start w:val="3"/>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1)"/>
      <w:numFmt w:val="decimal"/>
      <w:start w:val="1"/>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1)"/>
      <w:numFmt w:val="decimal"/>
      <w:start w:val="1"/>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8">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9">
    <w:nsid w:val="6FC75AF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0">
    <w:nsid w:val="6A5F702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91">
    <w:nsid w:val="7D5E18F8"/>
    <w:multiLevelType w:val="hybridMultilevel"/>
    <w:lvl w:ilvl="0">
      <w:lvlJc w:val="left"/>
      <w:lvlText w:val="(%1)"/>
      <w:numFmt w:val="lowerLetter"/>
      <w:start w:val="18"/>
    </w:lvl>
  </w:abstractNum>
  <w:abstractNum w:abstractNumId="92">
    <w:nsid w:val="5F3534A4"/>
    <w:multiLevelType w:val="hybridMultilevel"/>
    <w:lvl w:ilvl="0">
      <w:lvlJc w:val="left"/>
      <w:lvlText w:val="(%1)"/>
      <w:numFmt w:val="lowerLetter"/>
      <w:start w:val="27"/>
    </w:lvl>
  </w:abstractNum>
  <w:abstractNum w:abstractNumId="93">
    <w:nsid w:val="73A1821B"/>
    <w:multiLevelType w:val="hybridMultilevel"/>
    <w:lvl w:ilvl="0">
      <w:lvlJc w:val="left"/>
      <w:lvlText w:val="(%1)"/>
      <w:numFmt w:val="lowerLetter"/>
      <w:start w:val="1"/>
    </w:lvl>
    <w:lvl w:ilvl="1">
      <w:lvlJc w:val="left"/>
      <w:lvlText w:val="(%2)"/>
      <w:numFmt w:val="lowerRoman"/>
      <w:start w:val="1"/>
    </w:lvl>
  </w:abstractNum>
  <w:abstractNum w:abstractNumId="94">
    <w:nsid w:val="7DE67713"/>
    <w:multiLevelType w:val="hybridMultilevel"/>
    <w:lvl w:ilvl="0">
      <w:lvlJc w:val="left"/>
      <w:lvlText w:val="(%1)"/>
      <w:numFmt w:val="lowerLetter"/>
      <w:start w:val="2"/>
    </w:lvl>
  </w:abstractNum>
  <w:abstractNum w:abstractNumId="95">
    <w:nsid w:val="555C55B5"/>
    <w:multiLevelType w:val="hybridMultilevel"/>
    <w:lvl w:ilvl="0">
      <w:lvlJc w:val="left"/>
      <w:lvlText w:val="(%1)"/>
      <w:numFmt w:val="lowerLetter"/>
      <w:start w:val="3"/>
    </w:lvl>
  </w:abstractNum>
  <w:abstractNum w:abstractNumId="96">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7">
    <w:nsid w:val="14FCE74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3"/>
    </w:lvl>
  </w:abstractNum>
  <w:abstractNum w:abstractNumId="98">
    <w:nsid w:val="6A3DD3E8"/>
    <w:multiLevelType w:val="hybridMultilevel"/>
    <w:lvl w:ilvl="0">
      <w:lvlJc w:val="left"/>
      <w:lvlText w:val="(%1)"/>
      <w:numFmt w:val="lowerLetter"/>
      <w:start w:val="4"/>
    </w:lvl>
  </w:abstractNum>
  <w:abstractNum w:abstractNumId="99">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0">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1">
    <w:nsid w:val="5329993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2">
    <w:nsid w:val="1FBFE8E0"/>
    <w:multiLevelType w:val="hybridMultilevel"/>
    <w:lvl w:ilvl="0">
      <w:lvlJc w:val="left"/>
      <w:lvlText w:val="(%1)"/>
      <w:numFmt w:val="lowerLetter"/>
      <w:start w:val="4"/>
    </w:lvl>
    <w:lvl w:ilvl="1">
      <w:lvlJc w:val="left"/>
      <w:lvlText w:val="(%2)"/>
      <w:numFmt w:val="lowerRoman"/>
      <w:start w:val="1"/>
    </w:lvl>
  </w:abstractNum>
  <w:abstractNum w:abstractNumId="103">
    <w:nsid w:val="5092CA79"/>
    <w:multiLevelType w:val="hybridMultilevel"/>
    <w:lvl w:ilvl="0">
      <w:lvlJc w:val="left"/>
      <w:lvlText w:val="(%1)"/>
      <w:numFmt w:val="lowerRoman"/>
      <w:start w:val="5"/>
    </w:lvl>
    <w:lvl w:ilvl="1">
      <w:lvlJc w:val="left"/>
      <w:lvlText w:val="(%2)"/>
      <w:numFmt w:val="upperLetter"/>
      <w:start w:val="1"/>
    </w:lvl>
  </w:abstractNum>
  <w:abstractNum w:abstractNumId="104">
    <w:nsid w:val="1D545C4D"/>
    <w:multiLevelType w:val="hybridMultilevel"/>
    <w:lvl w:ilvl="0">
      <w:lvlJc w:val="left"/>
      <w:lvlText w:val="(%1)"/>
      <w:numFmt w:val="lowerLetter"/>
      <w:start w:val="1"/>
    </w:lvl>
    <w:lvl w:ilvl="1">
      <w:lvlJc w:val="left"/>
      <w:lvlText w:val="(%2)"/>
      <w:numFmt w:val="lowerRoman"/>
      <w:start w:val="1"/>
    </w:lvl>
  </w:abstractNum>
  <w:abstractNum w:abstractNumId="105">
    <w:nsid w:val="59ADEA3D"/>
    <w:multiLevelType w:val="hybridMultilevel"/>
    <w:lvl w:ilvl="0">
      <w:lvlJc w:val="left"/>
      <w:lvlText w:val="%1"/>
      <w:numFmt w:val="lowerLetter"/>
      <w:start w:val="1"/>
    </w:lvl>
    <w:lvl w:ilvl="1">
      <w:lvlJc w:val="left"/>
      <w:lvlText w:val="(%2)"/>
      <w:numFmt w:val="lowerRoman"/>
      <w:start w:val="2"/>
    </w:lvl>
  </w:abstractNum>
  <w:abstractNum w:abstractNumId="106">
    <w:nsid w:val="288F1A34"/>
    <w:multiLevelType w:val="hybridMultilevel"/>
    <w:lvl w:ilvl="0">
      <w:lvlJc w:val="left"/>
      <w:lvlText w:val="(%1)"/>
      <w:numFmt w:val="lowerLetter"/>
      <w:start w:val="4"/>
    </w:lvl>
    <w:lvl w:ilvl="1">
      <w:lvlJc w:val="left"/>
      <w:lvlText w:val="%2"/>
      <w:numFmt w:val="lowerRoman"/>
      <w:start w:val="1"/>
    </w:lvl>
  </w:abstractNum>
  <w:abstractNum w:abstractNumId="107">
    <w:nsid w:val="2A155DBC"/>
    <w:multiLevelType w:val="hybridMultilevel"/>
    <w:lvl w:ilvl="0">
      <w:lvlJc w:val="left"/>
      <w:lvlText w:val="(%1)"/>
      <w:numFmt w:val="lowerLetter"/>
      <w:start w:val="1"/>
    </w:lvl>
  </w:abstractNum>
  <w:abstractNum w:abstractNumId="108">
    <w:nsid w:val="1D9F6E5F"/>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2026-05-12T14:14:26Z</dcterms:created>
  <dcterms:modified xsi:type="dcterms:W3CDTF">2026-05-12T14:14:26Z</dcterms:modified>
</cp:coreProperties>
</file>